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A87E" w14:textId="77777777" w:rsidR="00CA5B60" w:rsidRPr="00CA5B60" w:rsidRDefault="00CA5B60" w:rsidP="00550BED">
      <w:pPr>
        <w:pStyle w:val="text0text"/>
        <w:rPr>
          <w:rStyle w:val="Black"/>
          <w:rFonts w:ascii="Arial" w:hAnsi="Arial" w:cs="Arial"/>
          <w:b/>
          <w:bCs/>
          <w:color w:val="auto"/>
        </w:rPr>
      </w:pPr>
    </w:p>
    <w:p w14:paraId="1E9FA806" w14:textId="77777777" w:rsidR="00851D5A" w:rsidRDefault="00851D5A" w:rsidP="00550BED">
      <w:pPr>
        <w:pStyle w:val="text0text"/>
        <w:rPr>
          <w:rFonts w:ascii="Arial" w:hAnsi="Arial" w:cs="Arial"/>
          <w:b/>
          <w:bCs/>
          <w:sz w:val="28"/>
          <w:szCs w:val="28"/>
        </w:rPr>
      </w:pPr>
    </w:p>
    <w:p w14:paraId="3820C555" w14:textId="013530CE" w:rsidR="00851D5A" w:rsidRPr="00851D5A" w:rsidRDefault="00851D5A" w:rsidP="00550BED">
      <w:pPr>
        <w:pStyle w:val="text0text"/>
        <w:rPr>
          <w:rFonts w:ascii="Arial" w:hAnsi="Arial" w:cs="Arial"/>
          <w:i/>
          <w:iCs/>
          <w:color w:val="0070C0"/>
          <w:sz w:val="24"/>
          <w:szCs w:val="24"/>
        </w:rPr>
      </w:pPr>
      <w:r w:rsidRPr="00851D5A">
        <w:rPr>
          <w:rFonts w:ascii="Arial" w:hAnsi="Arial" w:cs="Arial"/>
          <w:i/>
          <w:iCs/>
          <w:color w:val="0070C0"/>
          <w:sz w:val="24"/>
          <w:szCs w:val="24"/>
        </w:rPr>
        <w:t>REPLACE ORIGINAL CEPI-46 PROPOSAL WITH THE FOLLOWING:</w:t>
      </w:r>
    </w:p>
    <w:p w14:paraId="7A79B6D4" w14:textId="77777777" w:rsidR="00851D5A" w:rsidRDefault="00851D5A" w:rsidP="00550BED">
      <w:pPr>
        <w:pStyle w:val="text0text"/>
        <w:rPr>
          <w:rFonts w:ascii="Arial" w:hAnsi="Arial" w:cs="Arial"/>
          <w:b/>
          <w:bCs/>
          <w:sz w:val="28"/>
          <w:szCs w:val="28"/>
        </w:rPr>
      </w:pPr>
    </w:p>
    <w:p w14:paraId="7DC81391" w14:textId="5C3F10F0" w:rsidR="00CA5B60" w:rsidRPr="00CA5B60" w:rsidRDefault="00CA5B60" w:rsidP="00550BED">
      <w:pPr>
        <w:pStyle w:val="text0text"/>
        <w:rPr>
          <w:rFonts w:ascii="Arial" w:hAnsi="Arial" w:cs="Arial"/>
          <w:b/>
          <w:bCs/>
          <w:sz w:val="28"/>
          <w:szCs w:val="28"/>
        </w:rPr>
      </w:pPr>
      <w:r w:rsidRPr="00CA5B60">
        <w:rPr>
          <w:rFonts w:ascii="Arial" w:hAnsi="Arial" w:cs="Arial"/>
          <w:b/>
          <w:bCs/>
          <w:sz w:val="28"/>
          <w:szCs w:val="28"/>
        </w:rPr>
        <w:t>Component Performance Alternative CEPI-46</w:t>
      </w:r>
    </w:p>
    <w:p w14:paraId="41B17B7E" w14:textId="77777777" w:rsidR="00CA5B60" w:rsidRPr="00CA5B60" w:rsidRDefault="00CA5B60" w:rsidP="00CA5B60">
      <w:pPr>
        <w:pStyle w:val="text0text"/>
        <w:spacing w:after="160"/>
        <w:rPr>
          <w:rFonts w:ascii="Arial" w:hAnsi="Arial" w:cs="Arial"/>
          <w:b/>
          <w:bCs/>
        </w:rPr>
      </w:pPr>
      <w:r w:rsidRPr="00CA5B60">
        <w:rPr>
          <w:rFonts w:ascii="Arial" w:hAnsi="Arial" w:cs="Arial"/>
          <w:b/>
          <w:bCs/>
        </w:rPr>
        <w:t xml:space="preserve">IECC®: C402.1.5 </w:t>
      </w:r>
    </w:p>
    <w:p w14:paraId="785D799D" w14:textId="350F848E" w:rsidR="00CA5B60" w:rsidRPr="00CA5B60" w:rsidRDefault="00CA5B60" w:rsidP="00CA5B60">
      <w:pPr>
        <w:pStyle w:val="text0text"/>
        <w:spacing w:after="160"/>
        <w:rPr>
          <w:rStyle w:val="Black"/>
          <w:rFonts w:ascii="Arial" w:hAnsi="Arial" w:cs="Arial"/>
          <w:w w:val="0"/>
          <w:sz w:val="16"/>
          <w:szCs w:val="16"/>
        </w:rPr>
      </w:pPr>
      <w:r w:rsidRPr="00CA5B60">
        <w:rPr>
          <w:rFonts w:ascii="Arial" w:hAnsi="Arial" w:cs="Arial"/>
          <w:b/>
          <w:bCs/>
          <w:sz w:val="16"/>
          <w:szCs w:val="16"/>
        </w:rPr>
        <w:t>Proponents</w:t>
      </w:r>
      <w:r w:rsidRPr="00CA5B60">
        <w:rPr>
          <w:rFonts w:ascii="Arial" w:hAnsi="Arial" w:cs="Arial"/>
          <w:sz w:val="16"/>
          <w:szCs w:val="16"/>
        </w:rPr>
        <w:t>: Helen Sanders, Facade Tectonics Institute/Technoform North America, representing The Facade Tectonics Institute</w:t>
      </w:r>
    </w:p>
    <w:p w14:paraId="21B40AA9" w14:textId="2F5D13A1" w:rsidR="00CA5B60" w:rsidRPr="00CA5B60" w:rsidRDefault="00CA5B60" w:rsidP="00CA5B60">
      <w:pPr>
        <w:pStyle w:val="text0text"/>
        <w:spacing w:after="160"/>
        <w:rPr>
          <w:rStyle w:val="Black"/>
          <w:rFonts w:ascii="Arial" w:hAnsi="Arial" w:cs="Arial"/>
          <w:b/>
          <w:bCs/>
          <w:color w:val="auto"/>
          <w:sz w:val="24"/>
          <w:szCs w:val="24"/>
        </w:rPr>
      </w:pPr>
      <w:r w:rsidRPr="00CA5B60">
        <w:rPr>
          <w:rStyle w:val="Black"/>
          <w:rFonts w:ascii="Arial" w:hAnsi="Arial" w:cs="Arial"/>
          <w:b/>
          <w:bCs/>
          <w:color w:val="auto"/>
          <w:sz w:val="24"/>
          <w:szCs w:val="24"/>
        </w:rPr>
        <w:t>2021 International Energy Conservation Code</w:t>
      </w:r>
    </w:p>
    <w:p w14:paraId="47ECE6FF" w14:textId="144121A2" w:rsidR="00CA5B60" w:rsidRPr="00CA5B60" w:rsidRDefault="00CA5B60" w:rsidP="00CA5B60">
      <w:pPr>
        <w:pStyle w:val="text0text"/>
        <w:spacing w:after="160"/>
        <w:rPr>
          <w:rStyle w:val="Black"/>
          <w:rFonts w:ascii="Arial" w:hAnsi="Arial" w:cs="Arial"/>
          <w:b/>
          <w:bCs/>
          <w:color w:val="auto"/>
        </w:rPr>
      </w:pPr>
      <w:r w:rsidRPr="00CA5B60">
        <w:rPr>
          <w:rStyle w:val="Black"/>
          <w:rFonts w:ascii="Arial" w:hAnsi="Arial" w:cs="Arial"/>
          <w:b/>
          <w:bCs/>
          <w:color w:val="auto"/>
        </w:rPr>
        <w:t>Revise as follows</w:t>
      </w:r>
    </w:p>
    <w:p w14:paraId="6D204405" w14:textId="4860E2E3" w:rsidR="00550BED" w:rsidRPr="00CA5B60" w:rsidRDefault="00550BED" w:rsidP="00550BED">
      <w:pPr>
        <w:pStyle w:val="text0text"/>
        <w:rPr>
          <w:rFonts w:ascii="Arial" w:hAnsi="Arial" w:cs="Arial"/>
          <w:color w:val="auto"/>
          <w:w w:val="100"/>
          <w:sz w:val="18"/>
          <w:szCs w:val="18"/>
        </w:rPr>
      </w:pPr>
      <w:r w:rsidRPr="00CA5B60">
        <w:rPr>
          <w:rStyle w:val="Black"/>
          <w:rFonts w:ascii="Arial" w:hAnsi="Arial" w:cs="Arial"/>
          <w:b/>
          <w:bCs/>
          <w:color w:val="auto"/>
          <w:sz w:val="18"/>
          <w:szCs w:val="18"/>
        </w:rPr>
        <w:t>C402.1.5 Component performance alternative.</w:t>
      </w:r>
      <w:r w:rsidRPr="00CA5B60">
        <w:rPr>
          <w:rStyle w:val="Black"/>
          <w:rFonts w:ascii="Arial" w:hAnsi="Arial" w:cs="Arial"/>
          <w:color w:val="auto"/>
          <w:sz w:val="18"/>
          <w:szCs w:val="18"/>
        </w:rPr>
        <w:t xml:space="preserve"> Building envelope values and fenestration areas determined in </w:t>
      </w:r>
      <w:r w:rsidRPr="00CA5B60">
        <w:rPr>
          <w:rFonts w:ascii="Arial" w:hAnsi="Arial" w:cs="Arial"/>
          <w:color w:val="auto"/>
          <w:w w:val="100"/>
          <w:sz w:val="18"/>
          <w:szCs w:val="18"/>
        </w:rPr>
        <w:t xml:space="preserve">accordance with Equation 4-2 shall be an alternative to compliance with the </w:t>
      </w:r>
      <w:r w:rsidRPr="00CA5B60">
        <w:rPr>
          <w:rFonts w:ascii="Arial" w:hAnsi="Arial" w:cs="Arial"/>
          <w:i/>
          <w:iCs/>
          <w:color w:val="auto"/>
          <w:w w:val="100"/>
          <w:sz w:val="18"/>
          <w:szCs w:val="18"/>
        </w:rPr>
        <w:t>U-</w:t>
      </w:r>
      <w:r w:rsidRPr="00CA5B60">
        <w:rPr>
          <w:rFonts w:ascii="Arial" w:hAnsi="Arial" w:cs="Arial"/>
          <w:color w:val="auto"/>
          <w:w w:val="100"/>
          <w:sz w:val="18"/>
          <w:szCs w:val="18"/>
        </w:rPr>
        <w:t xml:space="preserve">, </w:t>
      </w:r>
      <w:r w:rsidRPr="00CA5B60">
        <w:rPr>
          <w:rFonts w:ascii="Arial" w:hAnsi="Arial" w:cs="Arial"/>
          <w:i/>
          <w:iCs/>
          <w:color w:val="auto"/>
          <w:w w:val="100"/>
          <w:sz w:val="18"/>
          <w:szCs w:val="18"/>
        </w:rPr>
        <w:t>F</w:t>
      </w:r>
      <w:r w:rsidRPr="00CA5B60">
        <w:rPr>
          <w:rFonts w:ascii="Arial" w:hAnsi="Arial" w:cs="Arial"/>
          <w:color w:val="auto"/>
          <w:w w:val="100"/>
          <w:sz w:val="18"/>
          <w:szCs w:val="18"/>
        </w:rPr>
        <w:t xml:space="preserve">- and </w:t>
      </w:r>
      <w:r w:rsidRPr="00CA5B60">
        <w:rPr>
          <w:rFonts w:ascii="Arial" w:hAnsi="Arial" w:cs="Arial"/>
          <w:i/>
          <w:iCs/>
          <w:color w:val="auto"/>
          <w:w w:val="100"/>
          <w:sz w:val="18"/>
          <w:szCs w:val="18"/>
        </w:rPr>
        <w:t>C</w:t>
      </w:r>
      <w:r w:rsidRPr="00CA5B60">
        <w:rPr>
          <w:rFonts w:ascii="Arial" w:hAnsi="Arial" w:cs="Arial"/>
          <w:color w:val="auto"/>
          <w:w w:val="100"/>
          <w:sz w:val="18"/>
          <w:szCs w:val="18"/>
        </w:rPr>
        <w:t xml:space="preserve">-factors in Tables C402.1.4 and C402.4 and the maximum allowable fenestration areas in Section C402.4.1. </w:t>
      </w:r>
      <w:r w:rsidRPr="00CA5B60">
        <w:rPr>
          <w:rFonts w:ascii="Arial" w:hAnsi="Arial" w:cs="Arial"/>
          <w:i/>
          <w:iCs/>
          <w:color w:val="auto"/>
          <w:w w:val="100"/>
          <w:sz w:val="18"/>
          <w:szCs w:val="18"/>
        </w:rPr>
        <w:t>Fenestration</w:t>
      </w:r>
      <w:r w:rsidRPr="00CA5B60">
        <w:rPr>
          <w:rFonts w:ascii="Arial" w:hAnsi="Arial" w:cs="Arial"/>
          <w:color w:val="auto"/>
          <w:w w:val="100"/>
          <w:sz w:val="18"/>
          <w:szCs w:val="18"/>
        </w:rPr>
        <w:t xml:space="preserve"> shall meet the applicable SHGC requirements of Section C402.4.3.</w:t>
      </w:r>
    </w:p>
    <w:p w14:paraId="09DE7213" w14:textId="77777777" w:rsidR="00550BED" w:rsidRPr="00CA5B60" w:rsidRDefault="00550BED" w:rsidP="00550BED">
      <w:pPr>
        <w:pStyle w:val="equationtag"/>
        <w:rPr>
          <w:rFonts w:ascii="Arial" w:hAnsi="Arial" w:cs="Arial"/>
          <w:b/>
          <w:bCs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A + B + C + D + E 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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Zero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</w:r>
      <w:r w:rsidRPr="00CA5B60">
        <w:rPr>
          <w:rFonts w:ascii="Arial" w:hAnsi="Arial" w:cs="Arial"/>
          <w:b/>
          <w:bCs/>
          <w:strike/>
          <w:color w:val="auto"/>
          <w:w w:val="100"/>
          <w:sz w:val="18"/>
          <w:szCs w:val="18"/>
        </w:rPr>
        <w:t>(Equation 4-2)</w:t>
      </w:r>
    </w:p>
    <w:p w14:paraId="35CAF8ED" w14:textId="77777777" w:rsidR="00550BED" w:rsidRPr="00CA5B60" w:rsidRDefault="00550BED" w:rsidP="00550BED">
      <w:pPr>
        <w:pStyle w:val="text0text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where:</w:t>
      </w:r>
    </w:p>
    <w:p w14:paraId="46BC7483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A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Sum of the (UA </w:t>
      </w:r>
      <w:proofErr w:type="spellStart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Dif</w:t>
      </w:r>
      <w:proofErr w:type="spellEnd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) values for each distinct assembly type of the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building thermal envelope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, other than slabs on grade and below-grade walls.</w:t>
      </w:r>
    </w:p>
    <w:p w14:paraId="46CEAC51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UA </w:t>
      </w:r>
      <w:proofErr w:type="spellStart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Dif</w:t>
      </w:r>
      <w:proofErr w:type="spellEnd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UA Proposed – UA Table.</w:t>
      </w:r>
    </w:p>
    <w:p w14:paraId="01B57A65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spacing w:val="-2"/>
          <w:w w:val="100"/>
          <w:sz w:val="18"/>
          <w:szCs w:val="18"/>
        </w:rPr>
        <w:t>UA Proposed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Proposed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U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-value × Area.</w:t>
      </w:r>
    </w:p>
    <w:p w14:paraId="2A251570" w14:textId="77777777" w:rsidR="00550BED" w:rsidRPr="00CA5B60" w:rsidRDefault="00550BED" w:rsidP="00550BED">
      <w:pPr>
        <w:pStyle w:val="equtextc"/>
        <w:rPr>
          <w:rStyle w:val="Black"/>
          <w:rFonts w:ascii="Arial" w:hAnsi="Arial" w:cs="Arial"/>
          <w:strike/>
          <w:color w:val="auto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UA Table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(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U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-factor from Table C402.1.</w:t>
      </w:r>
      <w:r w:rsidRPr="00CA5B60">
        <w:rPr>
          <w:rStyle w:val="Black"/>
          <w:rFonts w:ascii="Arial" w:hAnsi="Arial" w:cs="Arial"/>
          <w:strike/>
          <w:color w:val="auto"/>
          <w:sz w:val="18"/>
          <w:szCs w:val="18"/>
        </w:rPr>
        <w:t>3, C402.1.4 or C402.4) × Area.</w:t>
      </w:r>
    </w:p>
    <w:p w14:paraId="6BB42BA0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B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Sum of the (FL </w:t>
      </w:r>
      <w:proofErr w:type="spellStart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Dif</w:t>
      </w:r>
      <w:proofErr w:type="spellEnd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) values for each distinct slab-on-grade perimeter condition of the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building thermal envelope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.</w:t>
      </w:r>
    </w:p>
    <w:p w14:paraId="79FA83F8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FL </w:t>
      </w:r>
      <w:proofErr w:type="spellStart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Dif</w:t>
      </w:r>
      <w:proofErr w:type="spellEnd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FL Proposed – FL Table.</w:t>
      </w:r>
    </w:p>
    <w:p w14:paraId="1AA5C233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FL Proposed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Proposed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F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-value × Perimeter length.</w:t>
      </w:r>
    </w:p>
    <w:p w14:paraId="6417D0CD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FL Table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(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F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-factor specified in Table C402.1.4) × Perimeter length.</w:t>
      </w:r>
    </w:p>
    <w:p w14:paraId="00B2441C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C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Sum of the (CA </w:t>
      </w:r>
      <w:proofErr w:type="spellStart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Dif</w:t>
      </w:r>
      <w:proofErr w:type="spellEnd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) values for each distinct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below-grade wall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 assembly type of the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building thermal envelope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.</w:t>
      </w:r>
    </w:p>
    <w:p w14:paraId="51EB8E68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 xml:space="preserve">CA </w:t>
      </w:r>
      <w:proofErr w:type="spellStart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Dif</w:t>
      </w:r>
      <w:proofErr w:type="spellEnd"/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CA Proposed – CA Table.</w:t>
      </w:r>
    </w:p>
    <w:p w14:paraId="54C31A60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spacing w:val="-2"/>
          <w:w w:val="100"/>
          <w:sz w:val="18"/>
          <w:szCs w:val="18"/>
        </w:rPr>
        <w:t>CA Proposed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Proposed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C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-value × Area.</w:t>
      </w:r>
    </w:p>
    <w:p w14:paraId="5BD7BE13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CA Table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(Maximum allowable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C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-factor specified in Table C402.1.4) × Area.</w:t>
      </w:r>
    </w:p>
    <w:p w14:paraId="7EA3B9A3" w14:textId="77777777" w:rsidR="00550BED" w:rsidRPr="00CA5B60" w:rsidRDefault="00550BED" w:rsidP="00550BED">
      <w:pPr>
        <w:pStyle w:val="text0textindent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Where the proposed vertical glazing area is less than or equal to the maximum vertical glazing area allowed by Section C402.4.1, the value of D (Excess Vertical Glazing Value) shall be zero. Otherwise:</w:t>
      </w:r>
    </w:p>
    <w:p w14:paraId="6A15A124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(DA × UV) – (DA × U Wall), but not less than zero.</w:t>
      </w:r>
    </w:p>
    <w:p w14:paraId="5AD3D6E4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DA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(Proposed Vertical Glazing Area) – (Vertical Glazing Area allowed by Section C402.4.1).</w:t>
      </w:r>
    </w:p>
    <w:p w14:paraId="0BE7C97D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UA Wall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Sum of the (UA Proposed) values for each opaque assembly of the exterior wall.</w:t>
      </w:r>
    </w:p>
    <w:p w14:paraId="56298006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 Wall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Area-weighted average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U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-value of all above-grade wall assemblies.</w:t>
      </w:r>
    </w:p>
    <w:p w14:paraId="11214830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UAV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Sum of the (UA Proposed) values for each vertical glazing assembly.</w:t>
      </w:r>
    </w:p>
    <w:p w14:paraId="44DB2364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UV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UAV/total vertical glazing area.</w:t>
      </w:r>
    </w:p>
    <w:p w14:paraId="25E997E2" w14:textId="77777777" w:rsidR="00550BED" w:rsidRPr="00CA5B60" w:rsidRDefault="00550BED" w:rsidP="00550BED">
      <w:pPr>
        <w:pStyle w:val="text0textindent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Where the proposed skylight area is less than or equal to the skylight area allowed by Section C402.4.1, the value of E (Excess Skylight Value) shall be zero. Otherwise:</w:t>
      </w:r>
    </w:p>
    <w:p w14:paraId="0D7489CE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E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(EA × US) – (EA × U Roof), but not less than zero.</w:t>
      </w:r>
    </w:p>
    <w:p w14:paraId="4AD74900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EA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(Proposed Skylight Area) – (Allowable Skylight Area as specified in Section C402.4.1).</w:t>
      </w:r>
    </w:p>
    <w:p w14:paraId="40186270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 Roof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Area-weighted average </w:t>
      </w:r>
      <w:r w:rsidRPr="00CA5B60">
        <w:rPr>
          <w:rFonts w:ascii="Arial" w:hAnsi="Arial" w:cs="Arial"/>
          <w:i/>
          <w:iCs/>
          <w:strike/>
          <w:color w:val="auto"/>
          <w:w w:val="100"/>
          <w:sz w:val="18"/>
          <w:szCs w:val="18"/>
        </w:rPr>
        <w:t>U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-value of all roof assemblies.</w:t>
      </w:r>
    </w:p>
    <w:p w14:paraId="02852993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lastRenderedPageBreak/>
        <w:t>UAS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Sum of the (UA Proposed) values for each skylight assembly.</w:t>
      </w:r>
    </w:p>
    <w:p w14:paraId="4998996F" w14:textId="77777777" w:rsidR="00550BED" w:rsidRPr="00CA5B60" w:rsidRDefault="00550BED" w:rsidP="00550BED">
      <w:pPr>
        <w:pStyle w:val="equtextc"/>
        <w:rPr>
          <w:rFonts w:ascii="Arial" w:hAnsi="Arial" w:cs="Arial"/>
          <w:strike/>
          <w:color w:val="auto"/>
          <w:w w:val="100"/>
          <w:sz w:val="18"/>
          <w:szCs w:val="18"/>
        </w:rPr>
      </w:pP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>US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 xml:space="preserve"> =</w:t>
      </w:r>
      <w:r w:rsidRPr="00CA5B60">
        <w:rPr>
          <w:rFonts w:ascii="Arial" w:hAnsi="Arial" w:cs="Arial"/>
          <w:strike/>
          <w:color w:val="auto"/>
          <w:w w:val="100"/>
          <w:sz w:val="18"/>
          <w:szCs w:val="18"/>
        </w:rPr>
        <w:tab/>
        <w:t>UAS/total skylight area.</w:t>
      </w:r>
    </w:p>
    <w:p w14:paraId="3A7FC343" w14:textId="71130469" w:rsidR="00BE1A89" w:rsidRPr="00CA5B60" w:rsidRDefault="00BE1A89">
      <w:pPr>
        <w:rPr>
          <w:rFonts w:ascii="Arial" w:hAnsi="Arial" w:cs="Arial"/>
          <w:sz w:val="18"/>
          <w:szCs w:val="18"/>
        </w:rPr>
      </w:pPr>
    </w:p>
    <w:p w14:paraId="72CDB4B4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A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 xml:space="preserve">P 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+ B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+ C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≤ A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 xml:space="preserve">T 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+ B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+ C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 xml:space="preserve">T 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– V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– V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 xml:space="preserve">S 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</w:t>
      </w:r>
      <w:proofErr w:type="gramStart"/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  </w:t>
      </w:r>
      <w:r w:rsidRPr="00500F9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(</w:t>
      </w:r>
      <w:proofErr w:type="gramEnd"/>
      <w:r w:rsidRPr="00500F9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Equation 4-2)</w:t>
      </w:r>
    </w:p>
    <w:p w14:paraId="589A4A69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2258313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wher</w:t>
      </w:r>
      <w:r w:rsidRPr="00500F9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e:</w:t>
      </w:r>
    </w:p>
    <w:p w14:paraId="64223D14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108E058E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A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 xml:space="preserve">P 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= Sum of the (area x U-factor) for each proposed building thermal envelope assembly, other than slab-on-grade or below-grade wall assemblies</w:t>
      </w:r>
    </w:p>
    <w:p w14:paraId="3377D188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B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Sum of the (length x F-factor) for each proposed slab-on-grade edge condition</w:t>
      </w:r>
    </w:p>
    <w:p w14:paraId="16AE2A0C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C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Sum of the (area x C-factor) for each proposed below-grade wall assembly</w:t>
      </w:r>
    </w:p>
    <w:p w14:paraId="328FC775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A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 xml:space="preserve">T 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= Sum of the (area x U-factor permitted by Tables C402.1.4 and C402.4) for each proposed building thermal envelope assembly, other than slab-on-grade or below-grade wall assemblies</w:t>
      </w:r>
    </w:p>
    <w:p w14:paraId="50E396B7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B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Sum of the (length x F-factor permitted by Table C402.1.4 for each proposed slab-on-grade edge condition</w:t>
      </w:r>
    </w:p>
    <w:p w14:paraId="4619C1B2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C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Sum of the (area x C-factor permitted by Table C402.1.4) for each proposed below-grade wall assembly</w:t>
      </w:r>
    </w:p>
    <w:p w14:paraId="6528B3FC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658DC115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Maximum vertical fenestration area allowable by Section C402.4.1, C402.4.1.1, or C402.4.1.2</w:t>
      </w:r>
    </w:p>
    <w:p w14:paraId="0A352A1C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Q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Proposed vertical fenestration area</w:t>
      </w:r>
    </w:p>
    <w:p w14:paraId="349D21BB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R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Q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– 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, but not less than zero (excess vertical fenestration area)</w:t>
      </w:r>
    </w:p>
    <w:p w14:paraId="0B23C732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Area-weighted average U-factor permitted by Table C402.4 of all vertical fenestration assemblies</w:t>
      </w:r>
    </w:p>
    <w:p w14:paraId="769D8ED8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Area-weighted average U-factor permitted by Table C402.1.4 of all exterior opaque wall assemblies</w:t>
      </w:r>
    </w:p>
    <w:p w14:paraId="157DF1D4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U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– 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(excess U-factor for excess vertical fenestration area)</w:t>
      </w:r>
    </w:p>
    <w:p w14:paraId="1BB30126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V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R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x U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F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(excess </w:t>
      </w:r>
      <w:proofErr w:type="spellStart"/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UxA</w:t>
      </w:r>
      <w:proofErr w:type="spellEnd"/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due to excess vertical fenestration area)</w:t>
      </w:r>
    </w:p>
    <w:p w14:paraId="3D3FCBF2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537FE525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Maximum skylight area allowable by Section C402.1.4</w:t>
      </w:r>
    </w:p>
    <w:p w14:paraId="6C869B4C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Q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Actual skylight area</w:t>
      </w:r>
    </w:p>
    <w:p w14:paraId="0300B12B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R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Q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– P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, but not less than zero (excess skylight area)</w:t>
      </w:r>
    </w:p>
    <w:p w14:paraId="4C996A27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Area-weighted average U-factor permitted by Table C402.4 of all skylights</w:t>
      </w:r>
    </w:p>
    <w:p w14:paraId="348A4877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Area-weighted average U-factor permitted by Table C402.4.1 of all opaque roof assemblies </w:t>
      </w:r>
    </w:p>
    <w:p w14:paraId="380AD619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U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– T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(excess U-factor for excess skylight area)</w:t>
      </w:r>
    </w:p>
    <w:p w14:paraId="12C440E5" w14:textId="77777777" w:rsidR="00CA5B60" w:rsidRPr="00500F9D" w:rsidRDefault="00CA5B60" w:rsidP="00CA5B6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V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= R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x U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  <w:vertAlign w:val="subscript"/>
        </w:rPr>
        <w:t>S</w:t>
      </w:r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(excess </w:t>
      </w:r>
      <w:proofErr w:type="spellStart"/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>UxA</w:t>
      </w:r>
      <w:proofErr w:type="spellEnd"/>
      <w:r w:rsidRPr="00500F9D">
        <w:rPr>
          <w:rFonts w:ascii="Arial" w:hAnsi="Arial" w:cs="Arial"/>
          <w:color w:val="000000" w:themeColor="text1"/>
          <w:sz w:val="18"/>
          <w:szCs w:val="18"/>
          <w:u w:val="single"/>
        </w:rPr>
        <w:t xml:space="preserve"> due to excess skylight area)</w:t>
      </w:r>
    </w:p>
    <w:p w14:paraId="0DFA536E" w14:textId="77777777" w:rsidR="00CA5B60" w:rsidRPr="00CA5B60" w:rsidRDefault="00CA5B60" w:rsidP="00CA5B60">
      <w:pPr>
        <w:rPr>
          <w:rFonts w:ascii="Arial" w:hAnsi="Arial" w:cs="Arial"/>
          <w:sz w:val="18"/>
          <w:szCs w:val="18"/>
        </w:rPr>
      </w:pPr>
    </w:p>
    <w:p w14:paraId="019D306D" w14:textId="77777777" w:rsidR="00CA5B60" w:rsidRPr="00CA5B60" w:rsidRDefault="00CA5B60">
      <w:pPr>
        <w:rPr>
          <w:rFonts w:ascii="Arial" w:hAnsi="Arial" w:cs="Arial"/>
          <w:sz w:val="18"/>
          <w:szCs w:val="18"/>
        </w:rPr>
      </w:pPr>
    </w:p>
    <w:sectPr w:rsidR="00CA5B60" w:rsidRPr="00CA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D"/>
    <w:rsid w:val="00356807"/>
    <w:rsid w:val="00500F9D"/>
    <w:rsid w:val="00550BED"/>
    <w:rsid w:val="00851D5A"/>
    <w:rsid w:val="00BE1A89"/>
    <w:rsid w:val="00C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3DC1"/>
  <w15:chartTrackingRefBased/>
  <w15:docId w15:val="{63DA4EC3-690F-4E2C-84D4-A342C5A0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60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0text">
    <w:name w:val="text_0_text"/>
    <w:next w:val="Normal"/>
    <w:uiPriority w:val="99"/>
    <w:rsid w:val="00550BED"/>
    <w:pPr>
      <w:autoSpaceDE w:val="0"/>
      <w:autoSpaceDN w:val="0"/>
      <w:adjustRightInd w:val="0"/>
      <w:spacing w:before="80" w:after="80" w:line="220" w:lineRule="atLeast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text0textindent">
    <w:name w:val="text_0_text_indent"/>
    <w:next w:val="Normal"/>
    <w:uiPriority w:val="99"/>
    <w:rsid w:val="00550BED"/>
    <w:pPr>
      <w:autoSpaceDE w:val="0"/>
      <w:autoSpaceDN w:val="0"/>
      <w:adjustRightInd w:val="0"/>
      <w:spacing w:before="80" w:after="80" w:line="220" w:lineRule="atLeast"/>
      <w:ind w:firstLine="240"/>
      <w:jc w:val="both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paragraph" w:customStyle="1" w:styleId="equtextc">
    <w:name w:val="equ_text_c"/>
    <w:next w:val="Normal"/>
    <w:uiPriority w:val="99"/>
    <w:rsid w:val="00550BED"/>
    <w:pPr>
      <w:tabs>
        <w:tab w:val="left" w:pos="1080"/>
        <w:tab w:val="left" w:pos="1340"/>
      </w:tabs>
      <w:suppressAutoHyphens/>
      <w:autoSpaceDE w:val="0"/>
      <w:autoSpaceDN w:val="0"/>
      <w:adjustRightInd w:val="0"/>
      <w:spacing w:before="80" w:after="0" w:line="200" w:lineRule="atLeast"/>
      <w:ind w:left="1340" w:hanging="1340"/>
      <w:jc w:val="both"/>
    </w:pPr>
    <w:rPr>
      <w:rFonts w:ascii="Times" w:eastAsia="Times New Roman" w:hAnsi="Times" w:cs="Times"/>
      <w:color w:val="000000"/>
      <w:w w:val="0"/>
      <w:sz w:val="20"/>
      <w:szCs w:val="20"/>
    </w:rPr>
  </w:style>
  <w:style w:type="paragraph" w:customStyle="1" w:styleId="equationtag">
    <w:name w:val="equation_tag"/>
    <w:uiPriority w:val="99"/>
    <w:rsid w:val="00550BED"/>
    <w:pPr>
      <w:tabs>
        <w:tab w:val="right" w:pos="5000"/>
      </w:tabs>
      <w:autoSpaceDE w:val="0"/>
      <w:autoSpaceDN w:val="0"/>
      <w:adjustRightInd w:val="0"/>
      <w:spacing w:before="100" w:after="100" w:line="220" w:lineRule="atLeast"/>
    </w:pPr>
    <w:rPr>
      <w:rFonts w:ascii="Times New Roman" w:eastAsia="Times New Roman" w:hAnsi="Times New Roman" w:cs="Times New Roman"/>
      <w:color w:val="000000"/>
      <w:w w:val="0"/>
      <w:sz w:val="20"/>
      <w:szCs w:val="20"/>
    </w:rPr>
  </w:style>
  <w:style w:type="character" w:customStyle="1" w:styleId="Black">
    <w:name w:val="Black"/>
    <w:uiPriority w:val="99"/>
    <w:rsid w:val="00550BED"/>
    <w:rPr>
      <w:color w:val="000000"/>
      <w:w w:val="100"/>
      <w:u w:val="none"/>
      <w:vertAlign w:val="baseline"/>
      <w:lang w:val="en-US"/>
    </w:rPr>
  </w:style>
  <w:style w:type="paragraph" w:styleId="NormalWeb">
    <w:name w:val="Normal (Web)"/>
    <w:basedOn w:val="Normal"/>
    <w:uiPriority w:val="99"/>
    <w:semiHidden/>
    <w:unhideWhenUsed/>
    <w:rsid w:val="00CA5B60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3767</Characters>
  <Application>Microsoft Office Word</Application>
  <DocSecurity>0</DocSecurity>
  <Lines>31</Lines>
  <Paragraphs>8</Paragraphs>
  <ScaleCrop>false</ScaleCrop>
  <Company>International Code Council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Stenger</dc:creator>
  <cp:keywords/>
  <dc:description/>
  <cp:lastModifiedBy>Thomas Culp</cp:lastModifiedBy>
  <cp:revision>3</cp:revision>
  <dcterms:created xsi:type="dcterms:W3CDTF">2021-12-06T21:34:00Z</dcterms:created>
  <dcterms:modified xsi:type="dcterms:W3CDTF">2022-04-12T22:13:00Z</dcterms:modified>
</cp:coreProperties>
</file>