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A41A" w14:textId="6DC157A3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A27185">
        <w:rPr>
          <w:rFonts w:ascii="CIDFont+F1" w:hAnsi="CIDFont+F1" w:cs="CIDFont+F1"/>
          <w:color w:val="000000"/>
        </w:rPr>
        <w:t xml:space="preserve">Proposal 1666 changes vs. amendments to draft 1. </w:t>
      </w:r>
      <w:proofErr w:type="spellStart"/>
      <w:r w:rsidRPr="00A27185">
        <w:rPr>
          <w:rFonts w:ascii="CIDFont+F1" w:hAnsi="CIDFont+F1" w:cs="CIDFont+F1"/>
          <w:color w:val="000000"/>
        </w:rPr>
        <w:t>CDPaccess</w:t>
      </w:r>
      <w:proofErr w:type="spellEnd"/>
      <w:r w:rsidRPr="00A27185">
        <w:rPr>
          <w:rFonts w:ascii="CIDFont+F1" w:hAnsi="CIDFont+F1" w:cs="CIDFont+F1"/>
          <w:color w:val="000000"/>
        </w:rPr>
        <w:t xml:space="preserve"> removed strikeout/underline notation when</w:t>
      </w:r>
      <w:r w:rsidRPr="00A27185">
        <w:rPr>
          <w:rFonts w:ascii="CIDFont+F1" w:hAnsi="CIDFont+F1" w:cs="CIDFont+F1"/>
          <w:color w:val="000000"/>
        </w:rPr>
        <w:t xml:space="preserve"> </w:t>
      </w:r>
      <w:r w:rsidRPr="00A27185">
        <w:rPr>
          <w:rFonts w:ascii="CIDFont+F1" w:hAnsi="CIDFont+F1" w:cs="CIDFont+F1"/>
          <w:color w:val="000000"/>
        </w:rPr>
        <w:t>the proposal was re-edited, so here us a legal markup relative to the current posting for public review.</w:t>
      </w:r>
      <w:r w:rsidR="008813F8">
        <w:rPr>
          <w:rFonts w:ascii="CIDFont+F1" w:hAnsi="CIDFont+F1" w:cs="CIDFont+F1"/>
          <w:color w:val="000000"/>
        </w:rPr>
        <w:t xml:space="preserve"> The yellow highlighted text are the additional modifications </w:t>
      </w:r>
      <w:r w:rsidR="0060624A">
        <w:rPr>
          <w:rFonts w:ascii="CIDFont+F1" w:hAnsi="CIDFont+F1" w:cs="CIDFont+F1"/>
          <w:color w:val="000000"/>
        </w:rPr>
        <w:t xml:space="preserve">suggested by the Modeling SC. </w:t>
      </w:r>
    </w:p>
    <w:p w14:paraId="17A7C53F" w14:textId="2D4BF3D0" w:rsid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</w:rPr>
      </w:pPr>
    </w:p>
    <w:p w14:paraId="55D5461B" w14:textId="77777777" w:rsidR="0060624A" w:rsidRPr="00A27185" w:rsidRDefault="0060624A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</w:rPr>
      </w:pPr>
    </w:p>
    <w:p w14:paraId="637E71DA" w14:textId="7D113193" w:rsidR="00A27185" w:rsidRPr="00E240D0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22222"/>
          <w:sz w:val="24"/>
          <w:szCs w:val="24"/>
        </w:rPr>
      </w:pPr>
      <w:r w:rsidRPr="00E240D0">
        <w:rPr>
          <w:rFonts w:ascii="CIDFont+F2" w:hAnsi="CIDFont+F2" w:cs="CIDFont+F2"/>
          <w:b/>
          <w:bCs/>
          <w:color w:val="222222"/>
          <w:sz w:val="24"/>
          <w:szCs w:val="24"/>
        </w:rPr>
        <w:t>C406.2 . . .</w:t>
      </w:r>
    </w:p>
    <w:p w14:paraId="51AA6188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</w:rPr>
      </w:pPr>
      <w:r w:rsidRPr="00A27185">
        <w:rPr>
          <w:rFonts w:ascii="CIDFont+F2" w:hAnsi="CIDFont+F2" w:cs="CIDFont+F2"/>
          <w:color w:val="222222"/>
        </w:rPr>
        <w:t>Energy credits achieved for the project shall be the sum of the individual measure’s energy credits. Credits are</w:t>
      </w:r>
      <w:r w:rsidRPr="00A27185">
        <w:rPr>
          <w:rFonts w:ascii="CIDFont+F2" w:hAnsi="CIDFont+F2" w:cs="CIDFont+F2"/>
          <w:color w:val="222222"/>
        </w:rPr>
        <w:t xml:space="preserve"> </w:t>
      </w:r>
      <w:r w:rsidRPr="00A27185">
        <w:rPr>
          <w:rFonts w:ascii="CIDFont+F2" w:hAnsi="CIDFont+F2" w:cs="CIDFont+F2"/>
          <w:color w:val="222222"/>
        </w:rPr>
        <w:t>available for the measures listed in this Section. Where a project contains multiple building occupancy groups:</w:t>
      </w:r>
      <w:r w:rsidRPr="00A27185">
        <w:rPr>
          <w:rFonts w:ascii="CIDFont+F2" w:hAnsi="CIDFont+F2" w:cs="CIDFont+F2"/>
          <w:color w:val="222222"/>
        </w:rPr>
        <w:t xml:space="preserve"> </w:t>
      </w:r>
    </w:p>
    <w:p w14:paraId="273C3B0D" w14:textId="2C9E56F0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</w:rPr>
      </w:pPr>
      <w:r w:rsidRPr="00A27185">
        <w:rPr>
          <w:rFonts w:ascii="CIDFont+F2" w:hAnsi="CIDFont+F2" w:cs="CIDFont+F2"/>
          <w:color w:val="222222"/>
        </w:rPr>
        <w:t>1. Credits achieved for each occupancy group shall be summed and then weighted by the conditioned floor area</w:t>
      </w:r>
      <w:r w:rsidRPr="00A27185">
        <w:rPr>
          <w:rFonts w:ascii="CIDFont+F2" w:hAnsi="CIDFont+F2" w:cs="CIDFont+F2"/>
          <w:color w:val="222222"/>
        </w:rPr>
        <w:t xml:space="preserve"> </w:t>
      </w:r>
      <w:r w:rsidRPr="00A27185">
        <w:rPr>
          <w:rFonts w:ascii="CIDFont+F2" w:hAnsi="CIDFont+F2" w:cs="CIDFont+F2"/>
          <w:color w:val="222222"/>
        </w:rPr>
        <w:t>of each occupancy group to determine the weighted average project energy credits achieved.</w:t>
      </w:r>
    </w:p>
    <w:p w14:paraId="0141A7C7" w14:textId="3D54822B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</w:rPr>
      </w:pPr>
      <w:r w:rsidRPr="00A27185">
        <w:rPr>
          <w:rFonts w:ascii="CIDFont+F2" w:hAnsi="CIDFont+F2" w:cs="CIDFont+F2"/>
          <w:color w:val="222222"/>
        </w:rPr>
        <w:t xml:space="preserve">2. Improved envelope efficiency (E01 through E06), </w:t>
      </w:r>
      <w:r w:rsidRPr="00A27185">
        <w:rPr>
          <w:rFonts w:ascii="CIDFont+F2" w:hAnsi="CIDFont+F2" w:cs="CIDFont+F2"/>
          <w:color w:val="222222"/>
          <w:u w:val="single"/>
        </w:rPr>
        <w:t>HVAC Performance (H01)</w:t>
      </w:r>
      <w:r w:rsidRPr="00A27185">
        <w:rPr>
          <w:rFonts w:ascii="CIDFont+F2" w:hAnsi="CIDFont+F2" w:cs="CIDFont+F2"/>
          <w:color w:val="222222"/>
        </w:rPr>
        <w:t>, and lighting reduction (L06)</w:t>
      </w:r>
      <w:r w:rsidRPr="00A27185">
        <w:rPr>
          <w:rFonts w:ascii="CIDFont+F2" w:hAnsi="CIDFont+F2" w:cs="CIDFont+F2"/>
          <w:color w:val="222222"/>
        </w:rPr>
        <w:t xml:space="preserve"> </w:t>
      </w:r>
      <w:r w:rsidRPr="00A27185">
        <w:rPr>
          <w:rFonts w:ascii="CIDFont+F2" w:hAnsi="CIDFont+F2" w:cs="CIDFont+F2"/>
          <w:color w:val="222222"/>
        </w:rPr>
        <w:t xml:space="preserve">measure credits shall be determined for the building or permitted conditioned floor </w:t>
      </w:r>
      <w:proofErr w:type="gramStart"/>
      <w:r w:rsidRPr="00A27185">
        <w:rPr>
          <w:rFonts w:ascii="CIDFont+F2" w:hAnsi="CIDFont+F2" w:cs="CIDFont+F2"/>
          <w:color w:val="222222"/>
        </w:rPr>
        <w:t>area as a whole</w:t>
      </w:r>
      <w:proofErr w:type="gramEnd"/>
      <w:r w:rsidRPr="00A27185">
        <w:rPr>
          <w:rFonts w:ascii="CIDFont+F2" w:hAnsi="CIDFont+F2" w:cs="CIDFont+F2"/>
          <w:color w:val="222222"/>
        </w:rPr>
        <w:t>. Credits for</w:t>
      </w:r>
      <w:r w:rsidRPr="00A27185">
        <w:rPr>
          <w:rFonts w:ascii="CIDFont+F2" w:hAnsi="CIDFont+F2" w:cs="CIDFont+F2"/>
          <w:color w:val="222222"/>
        </w:rPr>
        <w:t xml:space="preserve"> </w:t>
      </w:r>
      <w:r w:rsidRPr="00A27185">
        <w:rPr>
          <w:rFonts w:ascii="CIDFont+F2" w:hAnsi="CIDFont+F2" w:cs="CIDFont+F2"/>
          <w:color w:val="222222"/>
        </w:rPr>
        <w:t>other measures shall be determined for each occupancy separately. Credits shall be taken from applicable</w:t>
      </w:r>
      <w:r w:rsidRPr="00A27185">
        <w:rPr>
          <w:rFonts w:ascii="CIDFont+F2" w:hAnsi="CIDFont+F2" w:cs="CIDFont+F2"/>
          <w:color w:val="222222"/>
        </w:rPr>
        <w:t xml:space="preserve"> </w:t>
      </w:r>
      <w:r w:rsidRPr="00A27185">
        <w:rPr>
          <w:rFonts w:ascii="CIDFont+F2" w:hAnsi="CIDFont+F2" w:cs="CIDFont+F2"/>
          <w:color w:val="222222"/>
        </w:rPr>
        <w:t>tables or calculations for each occupancy and weighted by the building occupancy group floor area.</w:t>
      </w:r>
    </w:p>
    <w:p w14:paraId="6E127127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</w:rPr>
      </w:pPr>
    </w:p>
    <w:p w14:paraId="4ECE1F16" w14:textId="77777777" w:rsidR="00A27185" w:rsidRPr="00E240D0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color w:val="404040"/>
        </w:rPr>
      </w:pPr>
      <w:r w:rsidRPr="00E240D0">
        <w:rPr>
          <w:rFonts w:ascii="CIDFont+F4" w:hAnsi="CIDFont+F4" w:cs="CIDFont+F4"/>
          <w:b/>
          <w:bCs/>
          <w:color w:val="404040"/>
        </w:rPr>
        <w:t>C406.2.2.1 H01 HVAC Performance (TSPR).</w:t>
      </w:r>
    </w:p>
    <w:p w14:paraId="234C1F7E" w14:textId="62FC9EE6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A27185">
        <w:rPr>
          <w:rFonts w:ascii="CIDFont+F2" w:hAnsi="CIDFont+F2" w:cs="CIDFont+F2"/>
          <w:color w:val="000000"/>
        </w:rPr>
        <w:t xml:space="preserve">H01 energy credits shall be earned where systems are permitted to use Section C409 and where </w:t>
      </w:r>
      <w:r w:rsidRPr="00A27185">
        <w:rPr>
          <w:rFonts w:ascii="CIDFont+F2" w:hAnsi="CIDFont+F2" w:cs="CIDFont+F2"/>
          <w:color w:val="000000"/>
          <w:u w:val="single"/>
        </w:rPr>
        <w:t>the</w:t>
      </w:r>
      <w:r w:rsidRPr="00A27185">
        <w:rPr>
          <w:rFonts w:ascii="CIDFont+F2" w:hAnsi="CIDFont+F2" w:cs="CIDFont+F2"/>
          <w:color w:val="000000"/>
          <w:u w:val="single"/>
        </w:rPr>
        <w:t xml:space="preserve"> </w:t>
      </w:r>
      <w:r w:rsidRPr="00A27185">
        <w:rPr>
          <w:rFonts w:ascii="CIDFont+F2" w:hAnsi="CIDFont+F2" w:cs="CIDFont+F2"/>
          <w:color w:val="000000"/>
          <w:u w:val="single"/>
        </w:rPr>
        <w:t>savings (TSPRs) based on</w:t>
      </w:r>
      <w:r w:rsidRPr="00A27185">
        <w:rPr>
          <w:rFonts w:ascii="CIDFont+F2" w:hAnsi="CIDFont+F2" w:cs="CIDFont+F2"/>
          <w:color w:val="000000"/>
        </w:rPr>
        <w:t xml:space="preserve"> the proposed TSPR </w:t>
      </w:r>
      <w:r w:rsidRPr="00A27185">
        <w:rPr>
          <w:rFonts w:ascii="CIDFont+F2" w:hAnsi="CIDFont+F2" w:cs="CIDFont+F2"/>
          <w:color w:val="000000"/>
          <w:u w:val="single"/>
        </w:rPr>
        <w:t>(</w:t>
      </w:r>
      <w:proofErr w:type="spellStart"/>
      <w:r w:rsidRPr="00A27185">
        <w:rPr>
          <w:rFonts w:ascii="CIDFont+F2" w:hAnsi="CIDFont+F2" w:cs="CIDFont+F2"/>
          <w:color w:val="000000"/>
          <w:u w:val="single"/>
        </w:rPr>
        <w:t>TSPRp</w:t>
      </w:r>
      <w:proofErr w:type="spellEnd"/>
      <w:r w:rsidRPr="00A27185">
        <w:rPr>
          <w:rFonts w:ascii="CIDFont+F2" w:hAnsi="CIDFont+F2" w:cs="CIDFont+F2"/>
          <w:color w:val="000000"/>
          <w:u w:val="single"/>
        </w:rPr>
        <w:t>) compared to the target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strike/>
          <w:color w:val="000000"/>
        </w:rPr>
        <w:t>exceeds the</w:t>
      </w:r>
      <w:r w:rsidRPr="00A27185">
        <w:rPr>
          <w:rFonts w:ascii="CIDFont+F2" w:hAnsi="CIDFont+F2" w:cs="CIDFont+F2"/>
          <w:strike/>
          <w:color w:val="000000"/>
        </w:rPr>
        <w:t xml:space="preserve"> </w:t>
      </w:r>
      <w:r w:rsidRPr="00A27185">
        <w:rPr>
          <w:rFonts w:ascii="CIDFont+F2" w:hAnsi="CIDFont+F2" w:cs="CIDFont+F2"/>
          <w:strike/>
          <w:color w:val="000000"/>
        </w:rPr>
        <w:t>minimum</w:t>
      </w:r>
      <w:r w:rsidRPr="00A27185">
        <w:rPr>
          <w:rFonts w:ascii="CIDFont+F2" w:hAnsi="CIDFont+F2" w:cs="CIDFont+F2"/>
          <w:color w:val="000000"/>
        </w:rPr>
        <w:t xml:space="preserve"> TSPR </w:t>
      </w:r>
      <w:r w:rsidRPr="00A27185">
        <w:rPr>
          <w:rFonts w:ascii="CIDFont+F2" w:hAnsi="CIDFont+F2" w:cs="CIDFont+F2"/>
          <w:color w:val="000000"/>
          <w:u w:val="single"/>
        </w:rPr>
        <w:t>(</w:t>
      </w:r>
      <w:proofErr w:type="spellStart"/>
      <w:r w:rsidRPr="00A27185">
        <w:rPr>
          <w:rFonts w:ascii="CIDFont+F2" w:hAnsi="CIDFont+F2" w:cs="CIDFont+F2"/>
          <w:color w:val="000000"/>
          <w:u w:val="single"/>
        </w:rPr>
        <w:t>TSPRt</w:t>
      </w:r>
      <w:proofErr w:type="spellEnd"/>
      <w:r w:rsidRPr="00A27185">
        <w:rPr>
          <w:rFonts w:ascii="CIDFont+F2" w:hAnsi="CIDFont+F2" w:cs="CIDFont+F2"/>
          <w:color w:val="000000"/>
          <w:u w:val="single"/>
        </w:rPr>
        <w:t>)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strike/>
          <w:color w:val="000000"/>
        </w:rPr>
        <w:t>requirement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  <w:u w:val="single"/>
        </w:rPr>
        <w:t>is</w:t>
      </w:r>
      <w:r w:rsidRPr="00A27185">
        <w:rPr>
          <w:rFonts w:ascii="CIDFont+F2" w:hAnsi="CIDFont+F2" w:cs="CIDFont+F2"/>
          <w:color w:val="000000"/>
        </w:rPr>
        <w:t xml:space="preserve"> 5 percent or more. If </w:t>
      </w:r>
      <w:r w:rsidRPr="00A27185">
        <w:rPr>
          <w:rFonts w:ascii="CIDFont+F2" w:hAnsi="CIDFont+F2" w:cs="CIDFont+F2"/>
          <w:strike/>
          <w:color w:val="000000"/>
        </w:rPr>
        <w:t>improvement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  <w:u w:val="single"/>
        </w:rPr>
        <w:t>savings</w:t>
      </w:r>
      <w:r w:rsidRPr="00A27185">
        <w:rPr>
          <w:rFonts w:ascii="CIDFont+F2" w:hAnsi="CIDFont+F2" w:cs="CIDFont+F2"/>
          <w:color w:val="000000"/>
        </w:rPr>
        <w:t xml:space="preserve"> is greater than 5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</w:rPr>
        <w:t>percent, determine H01 earned credits using Equation 4-14. Energy credits for H01 shall not be combined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</w:rPr>
        <w:t>with energy credits from HVAC measures H02, H03 or H05.</w:t>
      </w:r>
    </w:p>
    <w:p w14:paraId="1068BA05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3A60E6C9" w14:textId="1CB50AD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</w:rPr>
      </w:pPr>
      <w:r w:rsidRPr="00A27185">
        <w:rPr>
          <w:rFonts w:ascii="CIDFont+F2" w:hAnsi="CIDFont+F2" w:cs="CIDFont+F2"/>
          <w:strike/>
          <w:color w:val="000000"/>
        </w:rPr>
        <w:t>H01 energy credit = H01 base energy credit x TSPRs / 0.05</w:t>
      </w:r>
    </w:p>
    <w:p w14:paraId="686D9658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54A1D5E9" w14:textId="4B0F12A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 w:rsidRPr="00A27185">
        <w:rPr>
          <w:rFonts w:ascii="CIDFont+F2" w:hAnsi="CIDFont+F2" w:cs="CIDFont+F2"/>
          <w:color w:val="000000"/>
        </w:rPr>
        <w:t xml:space="preserve">ECTSPR = ECBASE x </w:t>
      </w:r>
      <w:proofErr w:type="spellStart"/>
      <w:r w:rsidRPr="008B0662">
        <w:rPr>
          <w:rFonts w:ascii="CIDFont+F2" w:hAnsi="CIDFont+F2" w:cs="CIDFont+F2"/>
          <w:strike/>
          <w:color w:val="000000"/>
          <w:highlight w:val="yellow"/>
        </w:rPr>
        <w:t>TSPRa</w:t>
      </w:r>
      <w:r w:rsidR="00465A7A" w:rsidRPr="008B0662">
        <w:rPr>
          <w:rFonts w:ascii="CIDFont+F2" w:hAnsi="CIDFont+F2" w:cs="CIDFont+F2"/>
          <w:color w:val="000000"/>
          <w:highlight w:val="yellow"/>
          <w:u w:val="single"/>
        </w:rPr>
        <w:t>AREA</w:t>
      </w:r>
      <w:r w:rsidR="00465A7A" w:rsidRPr="008B0662">
        <w:rPr>
          <w:rFonts w:ascii="CIDFont+F2" w:hAnsi="CIDFont+F2" w:cs="CIDFont+F2"/>
          <w:color w:val="000000"/>
          <w:highlight w:val="yellow"/>
          <w:u w:val="single"/>
          <w:vertAlign w:val="subscript"/>
        </w:rPr>
        <w:t>TSPR</w:t>
      </w:r>
      <w:proofErr w:type="spellEnd"/>
      <w:r w:rsidRPr="00A27185">
        <w:rPr>
          <w:rFonts w:ascii="CIDFont+F2" w:hAnsi="CIDFont+F2" w:cs="CIDFont+F2"/>
          <w:color w:val="000000"/>
        </w:rPr>
        <w:t xml:space="preserve"> x TSPRs / 0.05</w:t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2" w:hAnsi="CIDFont+F2" w:cs="CIDFont+F2"/>
          <w:color w:val="000000"/>
        </w:rPr>
        <w:tab/>
      </w:r>
      <w:r w:rsidRPr="00A27185">
        <w:rPr>
          <w:rFonts w:ascii="CIDFont+F4" w:hAnsi="CIDFont+F4" w:cs="CIDFont+F4"/>
          <w:color w:val="000000"/>
        </w:rPr>
        <w:t>(Equation 4-14)</w:t>
      </w:r>
    </w:p>
    <w:p w14:paraId="101424D2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5F983C2F" w14:textId="109A7200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u w:val="single"/>
        </w:rPr>
      </w:pPr>
      <w:r w:rsidRPr="00A27185">
        <w:rPr>
          <w:rFonts w:ascii="CIDFont+F2" w:hAnsi="CIDFont+F2" w:cs="CIDFont+F2"/>
          <w:color w:val="000000"/>
          <w:u w:val="single"/>
        </w:rPr>
        <w:t>where:</w:t>
      </w:r>
    </w:p>
    <w:p w14:paraId="6E49D088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u w:val="single"/>
        </w:rPr>
      </w:pPr>
      <w:r w:rsidRPr="00A27185">
        <w:rPr>
          <w:rFonts w:ascii="CIDFont+F2" w:hAnsi="CIDFont+F2" w:cs="CIDFont+F2"/>
          <w:color w:val="000000"/>
          <w:u w:val="single"/>
        </w:rPr>
        <w:t>ECTSPR = Energy credits achieved for H01</w:t>
      </w:r>
    </w:p>
    <w:p w14:paraId="20D1DC1B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u w:val="single"/>
        </w:rPr>
      </w:pPr>
      <w:r w:rsidRPr="00A27185">
        <w:rPr>
          <w:rFonts w:ascii="CIDFont+F2" w:hAnsi="CIDFont+F2" w:cs="CIDFont+F2"/>
          <w:color w:val="000000"/>
          <w:u w:val="single"/>
        </w:rPr>
        <w:t>ECBASE = H01 base energy credits from Tables C406.2(1) through C406.2(9)</w:t>
      </w:r>
    </w:p>
    <w:p w14:paraId="1F11A290" w14:textId="77777777" w:rsid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2DF5C476" w14:textId="5494B828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A27185">
        <w:rPr>
          <w:rFonts w:ascii="CIDFont+F2" w:hAnsi="CIDFont+F2" w:cs="CIDFont+F2"/>
          <w:color w:val="000000"/>
        </w:rPr>
        <w:t>TSPR</w:t>
      </w:r>
      <w:r w:rsidRPr="00A27185">
        <w:rPr>
          <w:rFonts w:ascii="CIDFont+F2" w:hAnsi="CIDFont+F2" w:cs="CIDFont+F2"/>
          <w:color w:val="000000"/>
          <w:u w:val="single"/>
        </w:rPr>
        <w:t>s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strike/>
          <w:color w:val="000000"/>
        </w:rPr>
        <w:t>x</w:t>
      </w:r>
      <w:r w:rsidRPr="00A27185">
        <w:rPr>
          <w:rFonts w:ascii="CIDFont+F2" w:hAnsi="CIDFont+F2" w:cs="CIDFont+F2"/>
          <w:color w:val="000000"/>
        </w:rPr>
        <w:t xml:space="preserve"> = </w:t>
      </w:r>
      <w:proofErr w:type="spellStart"/>
      <w:r w:rsidRPr="00A27185">
        <w:rPr>
          <w:rFonts w:ascii="CIDFont+F2" w:hAnsi="CIDFont+F2" w:cs="CIDFont+F2"/>
          <w:strike/>
          <w:color w:val="000000"/>
        </w:rPr>
        <w:t>TSPRa</w:t>
      </w:r>
      <w:proofErr w:type="spellEnd"/>
      <w:r w:rsidRPr="00A27185">
        <w:rPr>
          <w:rFonts w:ascii="CIDFont+F2" w:hAnsi="CIDFont+F2" w:cs="CIDFont+F2"/>
          <w:strike/>
          <w:color w:val="000000"/>
        </w:rPr>
        <w:t xml:space="preserve"> x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strike/>
          <w:color w:val="000000"/>
        </w:rPr>
        <w:t>[</w:t>
      </w:r>
      <w:r w:rsidRPr="00A27185">
        <w:rPr>
          <w:rFonts w:ascii="CIDFont+F2" w:hAnsi="CIDFont+F2" w:cs="CIDFont+F2"/>
          <w:color w:val="000000"/>
        </w:rPr>
        <w:t>the lessor of 0.20 and (1 - (</w:t>
      </w:r>
      <w:proofErr w:type="spellStart"/>
      <w:r w:rsidRPr="00A27185">
        <w:rPr>
          <w:rFonts w:ascii="CIDFont+F2" w:hAnsi="CIDFont+F2" w:cs="CIDFont+F2"/>
          <w:color w:val="000000"/>
        </w:rPr>
        <w:t>TSPR</w:t>
      </w:r>
      <w:r w:rsidRPr="00A27185">
        <w:rPr>
          <w:rFonts w:ascii="CIDFont+F2" w:hAnsi="CIDFont+F2" w:cs="CIDFont+F2"/>
          <w:color w:val="000000"/>
          <w:u w:val="single"/>
        </w:rPr>
        <w:t>t</w:t>
      </w:r>
      <w:proofErr w:type="spellEnd"/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strike/>
          <w:color w:val="000000"/>
        </w:rPr>
        <w:t>p</w:t>
      </w:r>
      <w:r w:rsidRPr="00A27185">
        <w:rPr>
          <w:rFonts w:ascii="CIDFont+F2" w:hAnsi="CIDFont+F2" w:cs="CIDFont+F2"/>
          <w:color w:val="000000"/>
        </w:rPr>
        <w:t xml:space="preserve"> / </w:t>
      </w:r>
      <w:proofErr w:type="spellStart"/>
      <w:r w:rsidRPr="00A27185">
        <w:rPr>
          <w:rFonts w:ascii="CIDFont+F2" w:hAnsi="CIDFont+F2" w:cs="CIDFont+F2"/>
          <w:color w:val="000000"/>
        </w:rPr>
        <w:t>TSPR</w:t>
      </w:r>
      <w:r w:rsidRPr="00A27185">
        <w:rPr>
          <w:rFonts w:ascii="CIDFont+F2" w:hAnsi="CIDFont+F2" w:cs="CIDFont+F2"/>
          <w:color w:val="000000"/>
          <w:u w:val="single"/>
        </w:rPr>
        <w:t>p</w:t>
      </w:r>
      <w:proofErr w:type="spellEnd"/>
      <w:r w:rsidRPr="00A27185">
        <w:rPr>
          <w:rFonts w:ascii="CIDFont+F2" w:hAnsi="CIDFont+F2" w:cs="CIDFont+F2"/>
          <w:strike/>
          <w:color w:val="000000"/>
        </w:rPr>
        <w:t xml:space="preserve"> t</w:t>
      </w:r>
      <w:r w:rsidRPr="00A27185">
        <w:rPr>
          <w:rFonts w:ascii="CIDFont+F2" w:hAnsi="CIDFont+F2" w:cs="CIDFont+F2"/>
          <w:color w:val="000000"/>
        </w:rPr>
        <w:t>))</w:t>
      </w:r>
      <w:r w:rsidRPr="00A27185">
        <w:rPr>
          <w:rFonts w:ascii="CIDFont+F2" w:hAnsi="CIDFont+F2" w:cs="CIDFont+F2"/>
          <w:strike/>
          <w:color w:val="000000"/>
        </w:rPr>
        <w:t>]</w:t>
      </w:r>
    </w:p>
    <w:p w14:paraId="487EB5BD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</w:rPr>
      </w:pPr>
      <w:r w:rsidRPr="00A27185">
        <w:rPr>
          <w:rFonts w:ascii="CIDFont+F2" w:hAnsi="CIDFont+F2" w:cs="CIDFont+F2"/>
          <w:strike/>
          <w:color w:val="000000"/>
        </w:rPr>
        <w:t>where:</w:t>
      </w:r>
    </w:p>
    <w:p w14:paraId="171EE029" w14:textId="59B5D9CC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IDFont+F1" w:hAnsi="CIDFont+F1" w:cs="CIDFont+F1"/>
          <w:color w:val="000000"/>
        </w:rPr>
      </w:pPr>
      <w:proofErr w:type="spellStart"/>
      <w:r w:rsidRPr="00465A7A">
        <w:rPr>
          <w:rFonts w:ascii="CIDFont+F2" w:hAnsi="CIDFont+F2" w:cs="CIDFont+F2"/>
          <w:strike/>
          <w:color w:val="000000"/>
          <w:highlight w:val="yellow"/>
        </w:rPr>
        <w:t>TSPRa</w:t>
      </w:r>
      <w:r w:rsidR="00465A7A" w:rsidRPr="00465A7A">
        <w:rPr>
          <w:rFonts w:ascii="CIDFont+F2" w:hAnsi="CIDFont+F2" w:cs="CIDFont+F2"/>
          <w:color w:val="000000"/>
          <w:highlight w:val="yellow"/>
        </w:rPr>
        <w:t>AREA</w:t>
      </w:r>
      <w:r w:rsidR="00465A7A" w:rsidRPr="00465A7A">
        <w:rPr>
          <w:rFonts w:ascii="CIDFont+F2" w:hAnsi="CIDFont+F2" w:cs="CIDFont+F2"/>
          <w:color w:val="000000"/>
          <w:highlight w:val="yellow"/>
          <w:vertAlign w:val="subscript"/>
        </w:rPr>
        <w:t>TSPR</w:t>
      </w:r>
      <w:proofErr w:type="spellEnd"/>
      <w:r w:rsidRPr="00A27185">
        <w:rPr>
          <w:rFonts w:ascii="CIDFont+F2" w:hAnsi="CIDFont+F2" w:cs="CIDFont+F2"/>
          <w:color w:val="000000"/>
        </w:rPr>
        <w:t xml:space="preserve"> = [floor area served by systems </w:t>
      </w:r>
      <w:r w:rsidRPr="00A27185">
        <w:rPr>
          <w:rFonts w:ascii="CIDFont+F2" w:hAnsi="CIDFont+F2" w:cs="CIDFont+F2"/>
          <w:strike/>
          <w:color w:val="000000"/>
        </w:rPr>
        <w:t>permitted to use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  <w:u w:val="single"/>
        </w:rPr>
        <w:t>included in</w:t>
      </w:r>
      <w:r w:rsidRPr="00A27185">
        <w:rPr>
          <w:rFonts w:ascii="CIDFont+F2" w:hAnsi="CIDFont+F2" w:cs="CIDFont+F2"/>
          <w:color w:val="000000"/>
        </w:rPr>
        <w:t xml:space="preserve"> TSPR] / [total building </w:t>
      </w:r>
      <w:r w:rsidRPr="00A27185">
        <w:rPr>
          <w:rFonts w:ascii="CIDFont+F1" w:hAnsi="CIDFont+F1" w:cs="CIDFont+F1"/>
          <w:color w:val="000000"/>
        </w:rPr>
        <w:t>conditioned floor</w:t>
      </w:r>
      <w:r w:rsidRPr="00A27185">
        <w:rPr>
          <w:rFonts w:ascii="CIDFont+F1" w:hAnsi="CIDFont+F1" w:cs="CIDFont+F1"/>
          <w:color w:val="000000"/>
        </w:rPr>
        <w:t xml:space="preserve"> </w:t>
      </w:r>
      <w:r w:rsidRPr="00A27185">
        <w:rPr>
          <w:rFonts w:ascii="CIDFont+F1" w:hAnsi="CIDFont+F1" w:cs="CIDFont+F1"/>
          <w:color w:val="000000"/>
        </w:rPr>
        <w:t>area</w:t>
      </w:r>
      <w:r w:rsidRPr="00A27185">
        <w:rPr>
          <w:rFonts w:ascii="CIDFont+F2" w:hAnsi="CIDFont+F2" w:cs="CIDFont+F2"/>
          <w:color w:val="000000"/>
        </w:rPr>
        <w:t>]</w:t>
      </w:r>
    </w:p>
    <w:p w14:paraId="4E6AF426" w14:textId="3E71C755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IDFont+F2" w:hAnsi="CIDFont+F2" w:cs="CIDFont+F2"/>
          <w:color w:val="000000"/>
        </w:rPr>
      </w:pPr>
      <w:proofErr w:type="spellStart"/>
      <w:r w:rsidRPr="00A27185">
        <w:rPr>
          <w:rFonts w:ascii="CIDFont+F2" w:hAnsi="CIDFont+F2" w:cs="CIDFont+F2"/>
          <w:color w:val="000000"/>
        </w:rPr>
        <w:t>TSPRp</w:t>
      </w:r>
      <w:proofErr w:type="spellEnd"/>
      <w:r w:rsidRPr="00A27185">
        <w:rPr>
          <w:rFonts w:ascii="CIDFont+F2" w:hAnsi="CIDFont+F2" w:cs="CIDFont+F2"/>
          <w:color w:val="000000"/>
        </w:rPr>
        <w:t xml:space="preserve"> = HVAC TSPR of the proposed design calculated in accordance with Sections C409.4, C409.5 and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</w:rPr>
        <w:t>C409.6.</w:t>
      </w:r>
    </w:p>
    <w:p w14:paraId="78254645" w14:textId="2DF8DDAC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proofErr w:type="spellStart"/>
      <w:r w:rsidRPr="00A27185">
        <w:rPr>
          <w:rFonts w:ascii="CIDFont+F2" w:hAnsi="CIDFont+F2" w:cs="CIDFont+F2"/>
          <w:color w:val="000000"/>
        </w:rPr>
        <w:t>TSPRt</w:t>
      </w:r>
      <w:proofErr w:type="spellEnd"/>
      <w:r w:rsidRPr="00A27185">
        <w:rPr>
          <w:rFonts w:ascii="CIDFont+F2" w:hAnsi="CIDFont+F2" w:cs="CIDFont+F2"/>
          <w:color w:val="000000"/>
        </w:rPr>
        <w:t xml:space="preserve"> = </w:t>
      </w:r>
      <w:proofErr w:type="spellStart"/>
      <w:r w:rsidRPr="00A27185">
        <w:rPr>
          <w:rFonts w:ascii="CIDFont+F2" w:hAnsi="CIDFont+F2" w:cs="CIDFont+F2"/>
          <w:color w:val="000000"/>
        </w:rPr>
        <w:t>TSPRr</w:t>
      </w:r>
      <w:proofErr w:type="spellEnd"/>
      <w:r w:rsidRPr="00A27185">
        <w:rPr>
          <w:rFonts w:ascii="CIDFont+F2" w:hAnsi="CIDFont+F2" w:cs="CIDFont+F2"/>
          <w:color w:val="000000"/>
        </w:rPr>
        <w:t xml:space="preserve"> / MPF</w:t>
      </w:r>
    </w:p>
    <w:p w14:paraId="24F0793F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4905B78E" w14:textId="6A50483F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</w:rPr>
      </w:pPr>
      <w:r w:rsidRPr="00A27185">
        <w:rPr>
          <w:rFonts w:ascii="CIDFont+F2" w:hAnsi="CIDFont+F2" w:cs="CIDFont+F2"/>
          <w:strike/>
          <w:color w:val="000000"/>
        </w:rPr>
        <w:t>where:</w:t>
      </w:r>
    </w:p>
    <w:p w14:paraId="2125AF0F" w14:textId="1005EF67" w:rsidR="00A27185" w:rsidRPr="00A27185" w:rsidRDefault="00A27185" w:rsidP="00465A7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IDFont+F2" w:hAnsi="CIDFont+F2" w:cs="CIDFont+F2"/>
          <w:color w:val="000000"/>
        </w:rPr>
      </w:pPr>
      <w:proofErr w:type="spellStart"/>
      <w:r w:rsidRPr="00A27185">
        <w:rPr>
          <w:rFonts w:ascii="CIDFont+F2" w:hAnsi="CIDFont+F2" w:cs="CIDFont+F2"/>
          <w:color w:val="000000"/>
        </w:rPr>
        <w:t>TSPRr</w:t>
      </w:r>
      <w:proofErr w:type="spellEnd"/>
      <w:r w:rsidRPr="00A27185">
        <w:rPr>
          <w:rFonts w:ascii="CIDFont+F2" w:hAnsi="CIDFont+F2" w:cs="CIDFont+F2"/>
          <w:color w:val="000000"/>
        </w:rPr>
        <w:t xml:space="preserve"> = HVAC TSPR of the reference </w:t>
      </w:r>
      <w:r w:rsidRPr="00A27185">
        <w:rPr>
          <w:rFonts w:ascii="CIDFont+F1" w:hAnsi="CIDFont+F1" w:cs="CIDFont+F1"/>
          <w:color w:val="000000"/>
        </w:rPr>
        <w:t xml:space="preserve">building </w:t>
      </w:r>
      <w:r w:rsidRPr="00A27185">
        <w:rPr>
          <w:rFonts w:ascii="CIDFont+F2" w:hAnsi="CIDFont+F2" w:cs="CIDFont+F2"/>
          <w:color w:val="000000"/>
        </w:rPr>
        <w:t>design calculated in accordance with Sections C409.4, C409.5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</w:rPr>
        <w:t>and C409.6.</w:t>
      </w:r>
    </w:p>
    <w:p w14:paraId="3DB9A8FE" w14:textId="4EBE0AE0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A27185">
        <w:rPr>
          <w:rFonts w:ascii="CIDFont+F2" w:hAnsi="CIDFont+F2" w:cs="CIDFont+F2"/>
          <w:color w:val="000000"/>
        </w:rPr>
        <w:t xml:space="preserve">MPF = Mechanical Performance Factor from Table C409.4 based on </w:t>
      </w:r>
      <w:r w:rsidRPr="00A27185">
        <w:rPr>
          <w:rFonts w:ascii="CIDFont+F1" w:hAnsi="CIDFont+F1" w:cs="CIDFont+F1"/>
          <w:color w:val="000000"/>
        </w:rPr>
        <w:t xml:space="preserve">climate zone </w:t>
      </w:r>
      <w:r w:rsidRPr="00A27185">
        <w:rPr>
          <w:rFonts w:ascii="CIDFont+F2" w:hAnsi="CIDFont+F2" w:cs="CIDFont+F2"/>
          <w:color w:val="000000"/>
        </w:rPr>
        <w:t xml:space="preserve">and </w:t>
      </w:r>
      <w:r w:rsidRPr="00A27185">
        <w:rPr>
          <w:rFonts w:ascii="CIDFont+F1" w:hAnsi="CIDFont+F1" w:cs="CIDFont+F1"/>
          <w:color w:val="000000"/>
        </w:rPr>
        <w:t xml:space="preserve">building </w:t>
      </w:r>
      <w:r w:rsidRPr="00A27185">
        <w:rPr>
          <w:rFonts w:ascii="CIDFont+F2" w:hAnsi="CIDFont+F2" w:cs="CIDFont+F2"/>
          <w:color w:val="000000"/>
        </w:rPr>
        <w:t>use type.</w:t>
      </w:r>
    </w:p>
    <w:p w14:paraId="6BB3FFA6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69EB41C9" w14:textId="4B34A9EC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A27185">
        <w:rPr>
          <w:rFonts w:ascii="CIDFont+F2" w:hAnsi="CIDFont+F2" w:cs="CIDFont+F2"/>
          <w:color w:val="000000"/>
        </w:rPr>
        <w:t xml:space="preserve">Where a </w:t>
      </w:r>
      <w:r w:rsidRPr="00A27185">
        <w:rPr>
          <w:rFonts w:ascii="CIDFont+F1" w:hAnsi="CIDFont+F1" w:cs="CIDFont+F1"/>
          <w:color w:val="000000"/>
        </w:rPr>
        <w:t xml:space="preserve">building </w:t>
      </w:r>
      <w:r w:rsidRPr="00A27185">
        <w:rPr>
          <w:rFonts w:ascii="CIDFont+F2" w:hAnsi="CIDFont+F2" w:cs="CIDFont+F2"/>
          <w:color w:val="000000"/>
        </w:rPr>
        <w:t xml:space="preserve">has multiple </w:t>
      </w:r>
      <w:r w:rsidRPr="00A27185">
        <w:rPr>
          <w:rFonts w:ascii="CIDFont+F1" w:hAnsi="CIDFont+F1" w:cs="CIDFont+F1"/>
          <w:color w:val="000000"/>
        </w:rPr>
        <w:t xml:space="preserve">building </w:t>
      </w:r>
      <w:r w:rsidRPr="00A27185">
        <w:rPr>
          <w:rFonts w:ascii="CIDFont+F2" w:hAnsi="CIDFont+F2" w:cs="CIDFont+F2"/>
          <w:color w:val="000000"/>
        </w:rPr>
        <w:t>use types, MPF shall be area weighted in accordance with Section</w:t>
      </w:r>
      <w:r w:rsidRPr="00A27185">
        <w:rPr>
          <w:rFonts w:ascii="CIDFont+F2" w:hAnsi="CIDFont+F2" w:cs="CIDFont+F2"/>
          <w:color w:val="000000"/>
        </w:rPr>
        <w:t xml:space="preserve"> </w:t>
      </w:r>
      <w:r w:rsidRPr="00A27185">
        <w:rPr>
          <w:rFonts w:ascii="CIDFont+F2" w:hAnsi="CIDFont+F2" w:cs="CIDFont+F2"/>
          <w:color w:val="000000"/>
        </w:rPr>
        <w:t>C409.4</w:t>
      </w:r>
    </w:p>
    <w:p w14:paraId="28953D93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</w:rPr>
      </w:pPr>
    </w:p>
    <w:p w14:paraId="0147A021" w14:textId="3E67A0EB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</w:rPr>
      </w:pPr>
      <w:r w:rsidRPr="00A27185">
        <w:rPr>
          <w:rFonts w:ascii="CIDFont+F6" w:hAnsi="CIDFont+F6" w:cs="CIDFont+F6"/>
          <w:color w:val="000000"/>
        </w:rPr>
        <w:t>Reason:</w:t>
      </w:r>
    </w:p>
    <w:p w14:paraId="33D6B8E1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  <w:r w:rsidRPr="00A27185">
        <w:rPr>
          <w:rFonts w:ascii="CIDFont+F7" w:hAnsi="CIDFont+F7" w:cs="CIDFont+F7"/>
          <w:color w:val="000000"/>
        </w:rPr>
        <w:t>Review and testing of the formula for TSPRs found three issues that this proposal corrects:</w:t>
      </w:r>
    </w:p>
    <w:p w14:paraId="4F7F4DA1" w14:textId="4EFF54AF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  <w:r w:rsidRPr="00A27185">
        <w:rPr>
          <w:rFonts w:ascii="CIDFont+F7" w:hAnsi="CIDFont+F7" w:cs="CIDFont+F7"/>
          <w:color w:val="000000"/>
        </w:rPr>
        <w:t xml:space="preserve">1. The subscript </w:t>
      </w:r>
      <w:proofErr w:type="spellStart"/>
      <w:r w:rsidRPr="00A27185">
        <w:rPr>
          <w:rFonts w:ascii="CIDFont+F7" w:hAnsi="CIDFont+F7" w:cs="CIDFont+F7"/>
          <w:color w:val="000000"/>
        </w:rPr>
        <w:t>TSPRx</w:t>
      </w:r>
      <w:proofErr w:type="spellEnd"/>
      <w:r w:rsidRPr="00A27185">
        <w:rPr>
          <w:rFonts w:ascii="CIDFont+F7" w:hAnsi="CIDFont+F7" w:cs="CIDFont+F7"/>
          <w:color w:val="000000"/>
        </w:rPr>
        <w:t xml:space="preserve"> is </w:t>
      </w:r>
      <w:r w:rsidR="00E240D0" w:rsidRPr="00A27185">
        <w:rPr>
          <w:rFonts w:ascii="CIDFont+F7" w:hAnsi="CIDFont+F7" w:cs="CIDFont+F7"/>
          <w:color w:val="000000"/>
        </w:rPr>
        <w:t>incorrect</w:t>
      </w:r>
      <w:r w:rsidRPr="00A27185">
        <w:rPr>
          <w:rFonts w:ascii="CIDFont+F7" w:hAnsi="CIDFont+F7" w:cs="CIDFont+F7"/>
          <w:color w:val="000000"/>
        </w:rPr>
        <w:t xml:space="preserve"> and changed to TSPRs for </w:t>
      </w:r>
      <w:proofErr w:type="spellStart"/>
      <w:r w:rsidRPr="00A27185">
        <w:rPr>
          <w:rFonts w:ascii="CIDFont+F7" w:hAnsi="CIDFont+F7" w:cs="CIDFont+F7"/>
          <w:color w:val="000000"/>
        </w:rPr>
        <w:t>TSPRsavings</w:t>
      </w:r>
      <w:proofErr w:type="spellEnd"/>
    </w:p>
    <w:p w14:paraId="342AFE03" w14:textId="7389A18B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  <w:r w:rsidRPr="00A27185">
        <w:rPr>
          <w:rFonts w:ascii="CIDFont+F7" w:hAnsi="CIDFont+F7" w:cs="CIDFont+F7"/>
          <w:color w:val="000000"/>
        </w:rPr>
        <w:t xml:space="preserve">2. </w:t>
      </w:r>
      <w:proofErr w:type="spellStart"/>
      <w:r w:rsidRPr="00A27185">
        <w:rPr>
          <w:rFonts w:ascii="CIDFont+F7" w:hAnsi="CIDFont+F7" w:cs="CIDFont+F7"/>
          <w:color w:val="000000"/>
        </w:rPr>
        <w:t>TSPRp</w:t>
      </w:r>
      <w:proofErr w:type="spellEnd"/>
      <w:r w:rsidRPr="00A27185">
        <w:rPr>
          <w:rFonts w:ascii="CIDFont+F7" w:hAnsi="CIDFont+F7" w:cs="CIDFont+F7"/>
          <w:color w:val="000000"/>
        </w:rPr>
        <w:t xml:space="preserve"> and </w:t>
      </w:r>
      <w:proofErr w:type="spellStart"/>
      <w:r w:rsidRPr="00A27185">
        <w:rPr>
          <w:rFonts w:ascii="CIDFont+F7" w:hAnsi="CIDFont+F7" w:cs="CIDFont+F7"/>
          <w:color w:val="000000"/>
        </w:rPr>
        <w:t>TSPRt</w:t>
      </w:r>
      <w:proofErr w:type="spellEnd"/>
      <w:r w:rsidRPr="00A27185">
        <w:rPr>
          <w:rFonts w:ascii="CIDFont+F7" w:hAnsi="CIDFont+F7" w:cs="CIDFont+F7"/>
          <w:color w:val="000000"/>
        </w:rPr>
        <w:t xml:space="preserve"> were reversed in the formula for TSPRs resulting in a negative result and a fraction representing</w:t>
      </w:r>
      <w:r w:rsidRPr="00A27185">
        <w:rPr>
          <w:rFonts w:ascii="CIDFont+F7" w:hAnsi="CIDFont+F7" w:cs="CIDFont+F7"/>
          <w:color w:val="000000"/>
        </w:rPr>
        <w:t xml:space="preserve"> </w:t>
      </w:r>
      <w:r w:rsidRPr="00A27185">
        <w:rPr>
          <w:rFonts w:ascii="CIDFont+F7" w:hAnsi="CIDFont+F7" w:cs="CIDFont+F7"/>
          <w:color w:val="000000"/>
        </w:rPr>
        <w:t>improvement in TSPR rather than the savings indicated by the improvement in TSPR. The corrected core formula for</w:t>
      </w:r>
      <w:r w:rsidRPr="00A27185">
        <w:rPr>
          <w:rFonts w:ascii="CIDFont+F7" w:hAnsi="CIDFont+F7" w:cs="CIDFont+F7"/>
          <w:color w:val="000000"/>
        </w:rPr>
        <w:t xml:space="preserve"> </w:t>
      </w:r>
      <w:proofErr w:type="spellStart"/>
      <w:r w:rsidRPr="00A27185">
        <w:rPr>
          <w:rFonts w:ascii="CIDFont+F7" w:hAnsi="CIDFont+F7" w:cs="CIDFont+F7"/>
          <w:color w:val="000000"/>
        </w:rPr>
        <w:t>TSPRsavings</w:t>
      </w:r>
      <w:proofErr w:type="spellEnd"/>
      <w:r w:rsidRPr="00A27185">
        <w:rPr>
          <w:rFonts w:ascii="CIDFont+F7" w:hAnsi="CIDFont+F7" w:cs="CIDFont+F7"/>
          <w:color w:val="000000"/>
        </w:rPr>
        <w:t xml:space="preserve"> is: 1 - (</w:t>
      </w:r>
      <w:proofErr w:type="spellStart"/>
      <w:r w:rsidRPr="00A27185">
        <w:rPr>
          <w:rFonts w:ascii="CIDFont+F7" w:hAnsi="CIDFont+F7" w:cs="CIDFont+F7"/>
          <w:color w:val="000000"/>
        </w:rPr>
        <w:t>TSPRt</w:t>
      </w:r>
      <w:proofErr w:type="spellEnd"/>
      <w:r w:rsidRPr="00A27185">
        <w:rPr>
          <w:rFonts w:ascii="CIDFont+F7" w:hAnsi="CIDFont+F7" w:cs="CIDFont+F7"/>
          <w:color w:val="000000"/>
        </w:rPr>
        <w:t xml:space="preserve"> / </w:t>
      </w:r>
      <w:proofErr w:type="spellStart"/>
      <w:r w:rsidRPr="00A27185">
        <w:rPr>
          <w:rFonts w:ascii="CIDFont+F7" w:hAnsi="CIDFont+F7" w:cs="CIDFont+F7"/>
          <w:color w:val="000000"/>
        </w:rPr>
        <w:t>TSPRp</w:t>
      </w:r>
      <w:proofErr w:type="spellEnd"/>
      <w:r w:rsidRPr="00A27185">
        <w:rPr>
          <w:rFonts w:ascii="CIDFont+F7" w:hAnsi="CIDFont+F7" w:cs="CIDFont+F7"/>
          <w:color w:val="000000"/>
        </w:rPr>
        <w:t>)</w:t>
      </w:r>
      <w:r w:rsidRPr="00A27185">
        <w:rPr>
          <w:rFonts w:ascii="CIDFont+F7" w:hAnsi="CIDFont+F7" w:cs="CIDFont+F7"/>
          <w:color w:val="000000"/>
        </w:rPr>
        <w:t>.</w:t>
      </w:r>
    </w:p>
    <w:p w14:paraId="02073CF3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</w:p>
    <w:p w14:paraId="55E9C702" w14:textId="1DA8CEB7" w:rsidR="00243C87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  <w:r w:rsidRPr="00A27185">
        <w:rPr>
          <w:rFonts w:ascii="CIDFont+F7" w:hAnsi="CIDFont+F7" w:cs="CIDFont+F7"/>
          <w:color w:val="000000"/>
        </w:rPr>
        <w:t>As an example, for a typical improvement case, the current TSPRs formula would return -12.6% savings when the TSPR</w:t>
      </w:r>
      <w:r w:rsidRPr="00A27185">
        <w:rPr>
          <w:rFonts w:ascii="CIDFont+F7" w:hAnsi="CIDFont+F7" w:cs="CIDFont+F7"/>
          <w:color w:val="000000"/>
        </w:rPr>
        <w:t xml:space="preserve"> </w:t>
      </w:r>
      <w:r w:rsidRPr="00A27185">
        <w:rPr>
          <w:rFonts w:ascii="CIDFont+F7" w:hAnsi="CIDFont+F7" w:cs="CIDFont+F7"/>
          <w:color w:val="000000"/>
        </w:rPr>
        <w:t>improvement was 12.6%, and the actual savings in site energy use was 11.2%. The corrected formula returns 11.2%.</w:t>
      </w:r>
    </w:p>
    <w:p w14:paraId="527BFC7B" w14:textId="7F371A58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  <w:r w:rsidRPr="00A27185">
        <w:rPr>
          <w:rFonts w:ascii="CIDFont+F7" w:hAnsi="CIDFont+F7" w:cs="CIDFont+F7"/>
        </w:rPr>
        <w:t>3. The adjustment for building area included in the TSPR calculation (</w:t>
      </w:r>
      <w:proofErr w:type="spellStart"/>
      <w:r w:rsidRPr="00A27185">
        <w:rPr>
          <w:rFonts w:ascii="CIDFont+F7" w:hAnsi="CIDFont+F7" w:cs="CIDFont+F7"/>
        </w:rPr>
        <w:t>TSPRa</w:t>
      </w:r>
      <w:proofErr w:type="spellEnd"/>
      <w:r w:rsidRPr="00A27185">
        <w:rPr>
          <w:rFonts w:ascii="CIDFont+F7" w:hAnsi="CIDFont+F7" w:cs="CIDFont+F7"/>
        </w:rPr>
        <w:t>) was moved to the main formula so that</w:t>
      </w:r>
      <w:r w:rsidRPr="00A27185">
        <w:rPr>
          <w:rFonts w:ascii="CIDFont+F7" w:hAnsi="CIDFont+F7" w:cs="CIDFont+F7"/>
        </w:rPr>
        <w:t xml:space="preserve"> </w:t>
      </w:r>
      <w:r w:rsidRPr="00A27185">
        <w:rPr>
          <w:rFonts w:ascii="CIDFont+F7" w:hAnsi="CIDFont+F7" w:cs="CIDFont+F7"/>
        </w:rPr>
        <w:t>TSPRs can be properly referenced to be in the range of 0.05 to 0.20 for setting measure eligibility limits.</w:t>
      </w:r>
    </w:p>
    <w:p w14:paraId="7837C839" w14:textId="4353D184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  <w:r w:rsidRPr="00A27185">
        <w:rPr>
          <w:rFonts w:ascii="CIDFont+F7" w:hAnsi="CIDFont+F7" w:cs="CIDFont+F7"/>
        </w:rPr>
        <w:t>Two symbols were added for the base and earned energy credits to match the format of other measure adjustment formulas.</w:t>
      </w:r>
      <w:r w:rsidRPr="00A27185">
        <w:rPr>
          <w:rFonts w:ascii="CIDFont+F7" w:hAnsi="CIDFont+F7" w:cs="CIDFont+F7"/>
        </w:rPr>
        <w:t xml:space="preserve"> </w:t>
      </w:r>
      <w:r w:rsidRPr="00A27185">
        <w:rPr>
          <w:rFonts w:ascii="CIDFont+F7" w:hAnsi="CIDFont+F7" w:cs="CIDFont+F7"/>
        </w:rPr>
        <w:t>In addition, charging language was clarified to indicate the minimum 5% is a savings from TSPR improvement rather than</w:t>
      </w:r>
      <w:r w:rsidRPr="00A27185">
        <w:rPr>
          <w:rFonts w:ascii="CIDFont+F7" w:hAnsi="CIDFont+F7" w:cs="CIDFont+F7"/>
        </w:rPr>
        <w:t xml:space="preserve"> </w:t>
      </w:r>
      <w:r w:rsidRPr="00A27185">
        <w:rPr>
          <w:rFonts w:ascii="CIDFont+F7" w:hAnsi="CIDFont+F7" w:cs="CIDFont+F7"/>
        </w:rPr>
        <w:t>the TSPR improvement itself. Also, the mixed-use section was modified to include measure H01 with those measures that</w:t>
      </w:r>
      <w:r w:rsidRPr="00A27185">
        <w:rPr>
          <w:rFonts w:ascii="CIDFont+F7" w:hAnsi="CIDFont+F7" w:cs="CIDFont+F7"/>
        </w:rPr>
        <w:t xml:space="preserve"> </w:t>
      </w:r>
      <w:r w:rsidRPr="00A27185">
        <w:rPr>
          <w:rFonts w:ascii="CIDFont+F7" w:hAnsi="CIDFont+F7" w:cs="CIDFont+F7"/>
        </w:rPr>
        <w:t xml:space="preserve">are calculated for the </w:t>
      </w:r>
      <w:proofErr w:type="gramStart"/>
      <w:r w:rsidRPr="00A27185">
        <w:rPr>
          <w:rFonts w:ascii="CIDFont+F7" w:hAnsi="CIDFont+F7" w:cs="CIDFont+F7"/>
        </w:rPr>
        <w:t>project as a whole</w:t>
      </w:r>
      <w:proofErr w:type="gramEnd"/>
      <w:r w:rsidRPr="00A27185">
        <w:rPr>
          <w:rFonts w:ascii="CIDFont+F7" w:hAnsi="CIDFont+F7" w:cs="CIDFont+F7"/>
        </w:rPr>
        <w:t>.</w:t>
      </w:r>
    </w:p>
    <w:p w14:paraId="01998368" w14:textId="77777777" w:rsidR="00A27185" w:rsidRP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</w:p>
    <w:p w14:paraId="700F1653" w14:textId="04E73D9E" w:rsidR="00A27185" w:rsidRDefault="00A27185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  <w:r w:rsidRPr="00A27185">
        <w:rPr>
          <w:rFonts w:ascii="CIDFont+F7" w:hAnsi="CIDFont+F7" w:cs="CIDFont+F7"/>
        </w:rPr>
        <w:t xml:space="preserve">NOTE that </w:t>
      </w:r>
      <w:proofErr w:type="spellStart"/>
      <w:r w:rsidRPr="00A27185">
        <w:rPr>
          <w:rFonts w:ascii="CIDFont+F7" w:hAnsi="CIDFont+F7" w:cs="CIDFont+F7"/>
        </w:rPr>
        <w:t>CDPaccess</w:t>
      </w:r>
      <w:proofErr w:type="spellEnd"/>
      <w:r w:rsidRPr="00A27185">
        <w:rPr>
          <w:rFonts w:ascii="CIDFont+F7" w:hAnsi="CIDFont+F7" w:cs="CIDFont+F7"/>
        </w:rPr>
        <w:t xml:space="preserve"> did not retain strikeout and underline in these corrections, so a file is attached that shows all changes</w:t>
      </w:r>
      <w:r w:rsidRPr="00A27185">
        <w:rPr>
          <w:rFonts w:ascii="CIDFont+F7" w:hAnsi="CIDFont+F7" w:cs="CIDFont+F7"/>
        </w:rPr>
        <w:t xml:space="preserve"> </w:t>
      </w:r>
      <w:r w:rsidRPr="00A27185">
        <w:rPr>
          <w:rFonts w:ascii="CIDFont+F7" w:hAnsi="CIDFont+F7" w:cs="CIDFont+F7"/>
        </w:rPr>
        <w:t>from the second round IECC posting.</w:t>
      </w:r>
    </w:p>
    <w:p w14:paraId="363393B1" w14:textId="73B5B71A" w:rsidR="0002307A" w:rsidRDefault="0002307A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</w:p>
    <w:p w14:paraId="1D3E5D6E" w14:textId="5AA4CD6D" w:rsidR="0002307A" w:rsidRPr="00645B58" w:rsidRDefault="0002307A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highlight w:val="yellow"/>
        </w:rPr>
      </w:pPr>
      <w:r w:rsidRPr="00645B58">
        <w:rPr>
          <w:rFonts w:ascii="CIDFont+F7" w:hAnsi="CIDFont+F7" w:cs="CIDFont+F7"/>
          <w:highlight w:val="yellow"/>
        </w:rPr>
        <w:t xml:space="preserve">There was a question during the SC call </w:t>
      </w:r>
      <w:r w:rsidR="00D01086" w:rsidRPr="00645B58">
        <w:rPr>
          <w:rFonts w:ascii="CIDFont+F7" w:hAnsi="CIDFont+F7" w:cs="CIDFont+F7"/>
          <w:highlight w:val="yellow"/>
        </w:rPr>
        <w:t>asking about the correction to TSPR savings formula</w:t>
      </w:r>
      <w:r w:rsidR="00C76B11">
        <w:rPr>
          <w:rFonts w:ascii="CIDFont+F7" w:hAnsi="CIDFont+F7" w:cs="CIDFont+F7"/>
          <w:highlight w:val="yellow"/>
        </w:rPr>
        <w:t xml:space="preserve"> (correction #2 above)</w:t>
      </w:r>
      <w:r w:rsidR="00D01086" w:rsidRPr="00645B58">
        <w:rPr>
          <w:rFonts w:ascii="CIDFont+F7" w:hAnsi="CIDFont+F7" w:cs="CIDFont+F7"/>
          <w:highlight w:val="yellow"/>
        </w:rPr>
        <w:t xml:space="preserve">. Here is a more detailed explanation of why the correction is needed. </w:t>
      </w:r>
    </w:p>
    <w:p w14:paraId="7C415A63" w14:textId="72358997" w:rsidR="00D01086" w:rsidRPr="00645B58" w:rsidRDefault="00D01086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highlight w:val="yellow"/>
        </w:rPr>
      </w:pPr>
    </w:p>
    <w:p w14:paraId="0AEC48FD" w14:textId="1981C004" w:rsidR="00D01086" w:rsidRPr="00645B58" w:rsidRDefault="00B77B38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highlight w:val="yellow"/>
        </w:rPr>
      </w:pPr>
      <w:r w:rsidRPr="00645B58">
        <w:rPr>
          <w:rFonts w:ascii="CIDFont+F7" w:hAnsi="CIDFont+F7" w:cs="CIDFont+F7"/>
          <w:highlight w:val="yellow"/>
        </w:rPr>
        <w:t xml:space="preserve">The base credits </w:t>
      </w:r>
      <w:r w:rsidR="00CE3371" w:rsidRPr="00645B58">
        <w:rPr>
          <w:rFonts w:ascii="CIDFont+F7" w:hAnsi="CIDFont+F7" w:cs="CIDFont+F7"/>
          <w:highlight w:val="yellow"/>
        </w:rPr>
        <w:t>for using TSPR are based on achieving a minimum 5% improvement over the target HVAC systems. Additional credits can be earned</w:t>
      </w:r>
      <w:r w:rsidR="00C92F9B" w:rsidRPr="00645B58">
        <w:rPr>
          <w:rFonts w:ascii="CIDFont+F7" w:hAnsi="CIDFont+F7" w:cs="CIDFont+F7"/>
          <w:highlight w:val="yellow"/>
        </w:rPr>
        <w:t xml:space="preserve"> for additional TSPR savings up to 20%.  </w:t>
      </w:r>
      <w:r w:rsidR="007F5148" w:rsidRPr="00645B58">
        <w:rPr>
          <w:rFonts w:ascii="CIDFont+F7" w:hAnsi="CIDFont+F7" w:cs="CIDFont+F7"/>
          <w:highlight w:val="yellow"/>
        </w:rPr>
        <w:t xml:space="preserve">Remember that the TSPR metric increases as an HVAC system gets more efficient. </w:t>
      </w:r>
      <w:r w:rsidR="00C92F9B" w:rsidRPr="00645B58">
        <w:rPr>
          <w:rFonts w:ascii="CIDFont+F7" w:hAnsi="CIDFont+F7" w:cs="CIDFont+F7"/>
          <w:highlight w:val="yellow"/>
        </w:rPr>
        <w:t>Let</w:t>
      </w:r>
      <w:r w:rsidR="00232EA9" w:rsidRPr="00645B58">
        <w:rPr>
          <w:rFonts w:ascii="CIDFont+F7" w:hAnsi="CIDFont+F7" w:cs="CIDFont+F7"/>
          <w:highlight w:val="yellow"/>
        </w:rPr>
        <w:t>’</w:t>
      </w:r>
      <w:r w:rsidR="00C92F9B" w:rsidRPr="00645B58">
        <w:rPr>
          <w:rFonts w:ascii="CIDFont+F7" w:hAnsi="CIDFont+F7" w:cs="CIDFont+F7"/>
          <w:highlight w:val="yellow"/>
        </w:rPr>
        <w:t xml:space="preserve">s take an example where the </w:t>
      </w:r>
      <w:r w:rsidR="00232EA9" w:rsidRPr="00645B58">
        <w:rPr>
          <w:rFonts w:ascii="CIDFont+F7" w:hAnsi="CIDFont+F7" w:cs="CIDFont+F7"/>
          <w:highlight w:val="yellow"/>
        </w:rPr>
        <w:t xml:space="preserve">target system has a TSPR value of say </w:t>
      </w:r>
      <w:r w:rsidR="00C22F4F" w:rsidRPr="00645B58">
        <w:rPr>
          <w:rFonts w:ascii="CIDFont+F7" w:hAnsi="CIDFont+F7" w:cs="CIDFont+F7"/>
          <w:highlight w:val="yellow"/>
        </w:rPr>
        <w:t>95</w:t>
      </w:r>
      <w:r w:rsidR="00232EA9" w:rsidRPr="00645B58">
        <w:rPr>
          <w:rFonts w:ascii="CIDFont+F7" w:hAnsi="CIDFont+F7" w:cs="CIDFont+F7"/>
          <w:highlight w:val="yellow"/>
        </w:rPr>
        <w:t xml:space="preserve">. In order to qualify for this credit </w:t>
      </w:r>
      <w:r w:rsidR="00D23508" w:rsidRPr="00645B58">
        <w:rPr>
          <w:rFonts w:ascii="CIDFont+F7" w:hAnsi="CIDFont+F7" w:cs="CIDFont+F7"/>
          <w:highlight w:val="yellow"/>
        </w:rPr>
        <w:t>a proposed HVAC system would have to have a TSPR of 10</w:t>
      </w:r>
      <w:r w:rsidR="00FD2CE3" w:rsidRPr="00645B58">
        <w:rPr>
          <w:rFonts w:ascii="CIDFont+F7" w:hAnsi="CIDFont+F7" w:cs="CIDFont+F7"/>
          <w:highlight w:val="yellow"/>
        </w:rPr>
        <w:t>0</w:t>
      </w:r>
      <w:r w:rsidR="00D23508" w:rsidRPr="00645B58">
        <w:rPr>
          <w:rFonts w:ascii="CIDFont+F7" w:hAnsi="CIDFont+F7" w:cs="CIDFont+F7"/>
          <w:highlight w:val="yellow"/>
        </w:rPr>
        <w:t xml:space="preserve">, a 5% improvement.  Let’s use these two numbers in the corrected formula above for TSPR savings. </w:t>
      </w:r>
    </w:p>
    <w:p w14:paraId="0664C8A2" w14:textId="63719E5B" w:rsidR="00CE3B86" w:rsidRPr="00645B58" w:rsidRDefault="00CE3B86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highlight w:val="yellow"/>
        </w:rPr>
      </w:pPr>
    </w:p>
    <w:p w14:paraId="4DA89F13" w14:textId="4EE0736D" w:rsidR="00FD2CE3" w:rsidRPr="00645B58" w:rsidRDefault="00CE3B86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highlight w:val="yellow"/>
        </w:rPr>
      </w:pPr>
      <w:r w:rsidRPr="00645B58">
        <w:rPr>
          <w:rFonts w:ascii="CIDFont+F7" w:hAnsi="CIDFont+F7" w:cs="CIDFont+F7"/>
          <w:highlight w:val="yellow"/>
        </w:rPr>
        <w:t>The correct</w:t>
      </w:r>
      <w:r w:rsidR="00C76B11">
        <w:rPr>
          <w:rFonts w:ascii="CIDFont+F7" w:hAnsi="CIDFont+F7" w:cs="CIDFont+F7"/>
          <w:highlight w:val="yellow"/>
        </w:rPr>
        <w:t>ed</w:t>
      </w:r>
      <w:r w:rsidRPr="00645B58">
        <w:rPr>
          <w:rFonts w:ascii="CIDFont+F7" w:hAnsi="CIDFont+F7" w:cs="CIDFont+F7"/>
          <w:highlight w:val="yellow"/>
        </w:rPr>
        <w:t xml:space="preserve"> formula </w:t>
      </w:r>
      <w:proofErr w:type="gramStart"/>
      <w:r w:rsidRPr="00645B58">
        <w:rPr>
          <w:rFonts w:ascii="CIDFont+F7" w:hAnsi="CIDFont+F7" w:cs="CIDFont+F7"/>
          <w:highlight w:val="yellow"/>
        </w:rPr>
        <w:t>is  1</w:t>
      </w:r>
      <w:proofErr w:type="gramEnd"/>
      <w:r w:rsidRPr="00645B58">
        <w:rPr>
          <w:rFonts w:ascii="CIDFont+F7" w:hAnsi="CIDFont+F7" w:cs="CIDFont+F7"/>
          <w:highlight w:val="yellow"/>
        </w:rPr>
        <w:t xml:space="preserve">- (TSPR target / TSPR proposed) = 1 – </w:t>
      </w:r>
      <w:r w:rsidR="00FD2CE3" w:rsidRPr="00645B58">
        <w:rPr>
          <w:rFonts w:ascii="CIDFont+F7" w:hAnsi="CIDFont+F7" w:cs="CIDFont+F7"/>
          <w:highlight w:val="yellow"/>
        </w:rPr>
        <w:t>(95</w:t>
      </w:r>
      <w:r w:rsidRPr="00645B58">
        <w:rPr>
          <w:rFonts w:ascii="CIDFont+F7" w:hAnsi="CIDFont+F7" w:cs="CIDFont+F7"/>
          <w:highlight w:val="yellow"/>
        </w:rPr>
        <w:t>/10</w:t>
      </w:r>
      <w:r w:rsidR="00FD2CE3" w:rsidRPr="00645B58">
        <w:rPr>
          <w:rFonts w:ascii="CIDFont+F7" w:hAnsi="CIDFont+F7" w:cs="CIDFont+F7"/>
          <w:highlight w:val="yellow"/>
        </w:rPr>
        <w:t>0) = 0.05 or 5%</w:t>
      </w:r>
    </w:p>
    <w:p w14:paraId="5F4126F7" w14:textId="77777777" w:rsidR="00FD2CE3" w:rsidRPr="00645B58" w:rsidRDefault="00FD2CE3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highlight w:val="yellow"/>
        </w:rPr>
      </w:pPr>
    </w:p>
    <w:p w14:paraId="43A9FA8C" w14:textId="3CEC54AA" w:rsidR="00925163" w:rsidRDefault="00FD2CE3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  <w:r w:rsidRPr="00645B58">
        <w:rPr>
          <w:rFonts w:ascii="CIDFont+F7" w:hAnsi="CIDFont+F7" w:cs="CIDFont+F7"/>
          <w:highlight w:val="yellow"/>
        </w:rPr>
        <w:t xml:space="preserve">The </w:t>
      </w:r>
      <w:r w:rsidR="00945A7F" w:rsidRPr="00645B58">
        <w:rPr>
          <w:rFonts w:ascii="CIDFont+F7" w:hAnsi="CIDFont+F7" w:cs="CIDFont+F7"/>
          <w:highlight w:val="yellow"/>
        </w:rPr>
        <w:t xml:space="preserve">incorrect formula was 1-(TSPR proposed/TSPR target) = 1 – (100/95) = </w:t>
      </w:r>
      <w:r w:rsidR="00925163" w:rsidRPr="00645B58">
        <w:rPr>
          <w:rFonts w:ascii="CIDFont+F7" w:hAnsi="CIDFont+F7" w:cs="CIDFont+F7"/>
          <w:highlight w:val="yellow"/>
        </w:rPr>
        <w:t xml:space="preserve">-0.052 as you can see this </w:t>
      </w:r>
      <w:r w:rsidR="00645B58" w:rsidRPr="00645B58">
        <w:rPr>
          <w:rFonts w:ascii="CIDFont+F7" w:hAnsi="CIDFont+F7" w:cs="CIDFont+F7"/>
          <w:highlight w:val="yellow"/>
        </w:rPr>
        <w:t>results in a negative number which would not work in Equation 4-14.</w:t>
      </w:r>
      <w:r w:rsidR="00645B58">
        <w:rPr>
          <w:rFonts w:ascii="CIDFont+F7" w:hAnsi="CIDFont+F7" w:cs="CIDFont+F7"/>
        </w:rPr>
        <w:t xml:space="preserve"> </w:t>
      </w:r>
      <w:r w:rsidR="00C76B11">
        <w:rPr>
          <w:rFonts w:ascii="CIDFont+F7" w:hAnsi="CIDFont+F7" w:cs="CIDFont+F7"/>
        </w:rPr>
        <w:t xml:space="preserve"> </w:t>
      </w:r>
    </w:p>
    <w:p w14:paraId="5178E4A2" w14:textId="25E803C1" w:rsidR="00C76B11" w:rsidRDefault="00C76B11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</w:p>
    <w:p w14:paraId="50E4C1FA" w14:textId="77777777" w:rsidR="00C76B11" w:rsidRDefault="00C76B11" w:rsidP="00A27185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</w:rPr>
      </w:pPr>
    </w:p>
    <w:p w14:paraId="18D4E90B" w14:textId="45D97D55" w:rsidR="00CE3B86" w:rsidRPr="00A27185" w:rsidRDefault="00FD2CE3" w:rsidP="00A27185">
      <w:pPr>
        <w:autoSpaceDE w:val="0"/>
        <w:autoSpaceDN w:val="0"/>
        <w:adjustRightInd w:val="0"/>
        <w:spacing w:after="0" w:line="240" w:lineRule="auto"/>
      </w:pPr>
      <w:r>
        <w:rPr>
          <w:rFonts w:ascii="CIDFont+F7" w:hAnsi="CIDFont+F7" w:cs="CIDFont+F7"/>
        </w:rPr>
        <w:t xml:space="preserve"> </w:t>
      </w:r>
    </w:p>
    <w:sectPr w:rsidR="00CE3B86" w:rsidRPr="00A2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5"/>
    <w:rsid w:val="0002307A"/>
    <w:rsid w:val="00232EA9"/>
    <w:rsid w:val="00243C87"/>
    <w:rsid w:val="00465A7A"/>
    <w:rsid w:val="0060624A"/>
    <w:rsid w:val="00645B58"/>
    <w:rsid w:val="007F5148"/>
    <w:rsid w:val="008813F8"/>
    <w:rsid w:val="008B0662"/>
    <w:rsid w:val="00925163"/>
    <w:rsid w:val="00945A7F"/>
    <w:rsid w:val="00A27185"/>
    <w:rsid w:val="00B77B38"/>
    <w:rsid w:val="00C22F4F"/>
    <w:rsid w:val="00C76B11"/>
    <w:rsid w:val="00C92F9B"/>
    <w:rsid w:val="00CE3371"/>
    <w:rsid w:val="00CE3B86"/>
    <w:rsid w:val="00D01086"/>
    <w:rsid w:val="00D23508"/>
    <w:rsid w:val="00E240D0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C1CF"/>
  <w15:chartTrackingRefBased/>
  <w15:docId w15:val="{32A21A45-71F9-4785-BAFB-15C929EF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Tillou, Michael M</dc:creator>
  <cp:keywords/>
  <dc:description/>
  <cp:lastModifiedBy>Tillou, Michael M</cp:lastModifiedBy>
  <cp:revision>20</cp:revision>
  <dcterms:created xsi:type="dcterms:W3CDTF">2023-08-21T20:00:00Z</dcterms:created>
  <dcterms:modified xsi:type="dcterms:W3CDTF">2023-08-22T15:41:00Z</dcterms:modified>
</cp:coreProperties>
</file>