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84B0" w14:textId="6505BD7F" w:rsidR="00417031" w:rsidRDefault="00417031" w:rsidP="00417031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</w:pPr>
      <w:r w:rsidRPr="00417031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CED1-65-22</w:t>
      </w:r>
    </w:p>
    <w:p w14:paraId="28438C7A" w14:textId="77777777" w:rsidR="00A73CF9" w:rsidRPr="00417031" w:rsidRDefault="00A73CF9" w:rsidP="00417031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10"/>
          <w:szCs w:val="10"/>
        </w:rPr>
      </w:pPr>
    </w:p>
    <w:p w14:paraId="57845E41" w14:textId="3C4642FA" w:rsidR="00417031" w:rsidRDefault="00417031" w:rsidP="004170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  <w:r w:rsidRPr="00417031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IECC: C405.2, C405.5.1</w:t>
      </w:r>
    </w:p>
    <w:p w14:paraId="6E845034" w14:textId="77777777" w:rsidR="00A73CF9" w:rsidRPr="00417031" w:rsidRDefault="00A73CF9" w:rsidP="004170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0"/>
          <w:szCs w:val="10"/>
        </w:rPr>
      </w:pPr>
    </w:p>
    <w:p w14:paraId="10F61F76" w14:textId="09809862" w:rsidR="00417031" w:rsidRDefault="00417031" w:rsidP="004170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417031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Proponents:</w:t>
      </w:r>
      <w:r w:rsidR="00A73CF9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  <w:r w:rsidRPr="00417031">
        <w:rPr>
          <w:rFonts w:ascii="Helvetica" w:eastAsia="Times New Roman" w:hAnsi="Helvetica" w:cs="Helvetica"/>
          <w:color w:val="000000"/>
          <w:sz w:val="21"/>
          <w:szCs w:val="21"/>
        </w:rPr>
        <w:t>Bryan Holland, representing National Electrical Manufacturers Association (NEMA) (</w:t>
      </w:r>
      <w:hyperlink r:id="rId4" w:history="1">
        <w:r w:rsidR="00A73CF9" w:rsidRPr="00417031">
          <w:rPr>
            <w:rStyle w:val="Hyperlink"/>
            <w:rFonts w:ascii="Helvetica" w:eastAsia="Times New Roman" w:hAnsi="Helvetica" w:cs="Helvetica"/>
            <w:sz w:val="21"/>
            <w:szCs w:val="21"/>
          </w:rPr>
          <w:t>bryan.holland@nema.org</w:t>
        </w:r>
      </w:hyperlink>
      <w:r w:rsidR="00A73CF9">
        <w:rPr>
          <w:rFonts w:ascii="Helvetica" w:eastAsia="Times New Roman" w:hAnsi="Helvetica" w:cs="Helvetica"/>
          <w:color w:val="000000"/>
          <w:sz w:val="21"/>
          <w:szCs w:val="21"/>
        </w:rPr>
        <w:t>)</w:t>
      </w:r>
    </w:p>
    <w:p w14:paraId="7622BB54" w14:textId="77777777" w:rsidR="00A73CF9" w:rsidRPr="00417031" w:rsidRDefault="00A73CF9" w:rsidP="004170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</w:p>
    <w:p w14:paraId="4D21AF4F" w14:textId="77777777" w:rsidR="00417031" w:rsidRPr="00417031" w:rsidRDefault="00417031" w:rsidP="00417031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34"/>
          <w:szCs w:val="34"/>
        </w:rPr>
      </w:pPr>
      <w:r w:rsidRPr="00417031">
        <w:rPr>
          <w:rFonts w:ascii="Helvetica" w:eastAsia="Times New Roman" w:hAnsi="Helvetica" w:cs="Helvetica"/>
          <w:b/>
          <w:bCs/>
          <w:color w:val="000000"/>
          <w:sz w:val="34"/>
          <w:szCs w:val="34"/>
        </w:rPr>
        <w:t>2024 International Energy Conservation Code [CE Project]</w:t>
      </w:r>
    </w:p>
    <w:p w14:paraId="204F4171" w14:textId="2FE9E6BA" w:rsidR="00417031" w:rsidRPr="00417031" w:rsidRDefault="00417031" w:rsidP="004170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17031">
        <w:rPr>
          <w:rFonts w:eastAsia="Times New Roman" w:cstheme="minorHAnsi"/>
          <w:b/>
          <w:bCs/>
          <w:color w:val="000000"/>
          <w:sz w:val="24"/>
          <w:szCs w:val="24"/>
        </w:rPr>
        <w:t>Revise as follows:</w:t>
      </w:r>
    </w:p>
    <w:p w14:paraId="3B454696" w14:textId="77777777" w:rsidR="00417031" w:rsidRPr="00417031" w:rsidRDefault="00417031" w:rsidP="004170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0"/>
          <w:szCs w:val="10"/>
        </w:rPr>
      </w:pPr>
    </w:p>
    <w:p w14:paraId="1B8E5A6E" w14:textId="6BB1BA3D" w:rsidR="00417031" w:rsidRPr="00417031" w:rsidRDefault="00417031" w:rsidP="004170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17031">
        <w:rPr>
          <w:rFonts w:eastAsia="Times New Roman" w:cstheme="minorHAnsi"/>
          <w:b/>
          <w:bCs/>
          <w:color w:val="000000"/>
          <w:sz w:val="24"/>
          <w:szCs w:val="24"/>
        </w:rPr>
        <w:t>C405.2</w:t>
      </w:r>
      <w:r w:rsidRPr="00417031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417031">
        <w:rPr>
          <w:rFonts w:eastAsia="Times New Roman" w:cstheme="minorHAnsi"/>
          <w:b/>
          <w:bCs/>
          <w:color w:val="000000"/>
          <w:sz w:val="24"/>
          <w:szCs w:val="24"/>
        </w:rPr>
        <w:t>Lighting controls.</w:t>
      </w:r>
    </w:p>
    <w:p w14:paraId="3F2FE14A" w14:textId="27BC02C1" w:rsidR="00417031" w:rsidRPr="00417031" w:rsidRDefault="00417031" w:rsidP="0041703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417031">
        <w:rPr>
          <w:rFonts w:eastAsia="Times New Roman" w:cstheme="minorHAnsi"/>
          <w:color w:val="000000"/>
          <w:sz w:val="24"/>
          <w:szCs w:val="24"/>
        </w:rPr>
        <w:t>Lighting systems powered through the energy service for the building </w:t>
      </w:r>
      <w:r w:rsidRPr="00A73CF9">
        <w:rPr>
          <w:rFonts w:eastAsia="Times New Roman" w:cstheme="minorHAnsi"/>
          <w:color w:val="0070C0"/>
          <w:sz w:val="24"/>
          <w:szCs w:val="24"/>
          <w:u w:val="single"/>
        </w:rPr>
        <w:t>and any other building site lighting owned and maintained by the building owner and associated with the building project permit</w:t>
      </w:r>
      <w:r w:rsidRPr="00A73CF9">
        <w:rPr>
          <w:rFonts w:eastAsia="Times New Roman" w:cstheme="minorHAnsi"/>
          <w:color w:val="0070C0"/>
          <w:sz w:val="24"/>
          <w:szCs w:val="24"/>
        </w:rPr>
        <w:t xml:space="preserve"> </w:t>
      </w:r>
      <w:r w:rsidRPr="00417031">
        <w:rPr>
          <w:rFonts w:eastAsia="Times New Roman" w:cstheme="minorHAnsi"/>
          <w:color w:val="000000"/>
          <w:sz w:val="24"/>
          <w:szCs w:val="24"/>
        </w:rPr>
        <w:t>shall be provided with controls that comply with Sections C405.2.1 through C405.2.9 .</w:t>
      </w:r>
    </w:p>
    <w:p w14:paraId="16C19B0D" w14:textId="1C429685" w:rsidR="00417031" w:rsidRPr="00417031" w:rsidRDefault="00417031" w:rsidP="004170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17031">
        <w:rPr>
          <w:rFonts w:eastAsia="Times New Roman" w:cstheme="minorHAnsi"/>
          <w:b/>
          <w:bCs/>
          <w:color w:val="000000"/>
          <w:sz w:val="24"/>
          <w:szCs w:val="24"/>
        </w:rPr>
        <w:t>C405.5.1</w:t>
      </w:r>
      <w:r w:rsidRPr="00417031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417031">
        <w:rPr>
          <w:rFonts w:eastAsia="Times New Roman" w:cstheme="minorHAnsi"/>
          <w:b/>
          <w:bCs/>
          <w:color w:val="000000"/>
          <w:sz w:val="24"/>
          <w:szCs w:val="24"/>
        </w:rPr>
        <w:t>Total connected </w:t>
      </w:r>
      <w:r w:rsidRPr="00417031">
        <w:rPr>
          <w:rFonts w:eastAsia="Times New Roman" w:cstheme="minorHAnsi"/>
          <w:b/>
          <w:bCs/>
          <w:strike/>
          <w:color w:val="FF0000"/>
          <w:sz w:val="24"/>
          <w:szCs w:val="24"/>
        </w:rPr>
        <w:t>exterior building</w:t>
      </w:r>
      <w:r w:rsidRPr="00417031">
        <w:rPr>
          <w:rFonts w:eastAsia="Times New Roman" w:cstheme="minorHAnsi"/>
          <w:b/>
          <w:bCs/>
          <w:color w:val="FF0000"/>
          <w:sz w:val="24"/>
          <w:szCs w:val="24"/>
        </w:rPr>
        <w:t> </w:t>
      </w:r>
      <w:r w:rsidRPr="00417031">
        <w:rPr>
          <w:rFonts w:eastAsia="Times New Roman" w:cstheme="minorHAnsi"/>
          <w:b/>
          <w:bCs/>
          <w:color w:val="000000"/>
          <w:sz w:val="24"/>
          <w:szCs w:val="24"/>
        </w:rPr>
        <w:t>exterior lighting power.</w:t>
      </w:r>
    </w:p>
    <w:p w14:paraId="1C65F2A7" w14:textId="60F0A514" w:rsidR="00417031" w:rsidRPr="00417031" w:rsidRDefault="00417031" w:rsidP="0041703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 w:rsidRPr="00417031">
        <w:rPr>
          <w:rFonts w:eastAsia="Times New Roman" w:cstheme="minorHAnsi"/>
          <w:color w:val="000000"/>
          <w:sz w:val="24"/>
          <w:szCs w:val="24"/>
        </w:rPr>
        <w:t>The total exterior connected lighting power shall be the total maximum rated wattage of all </w:t>
      </w:r>
      <w:r w:rsidR="00DA2D90" w:rsidRPr="00A73CF9">
        <w:rPr>
          <w:rFonts w:eastAsia="Times New Roman" w:cstheme="minorHAnsi"/>
          <w:color w:val="0070C0"/>
          <w:sz w:val="24"/>
          <w:szCs w:val="24"/>
          <w:u w:val="single"/>
        </w:rPr>
        <w:t>exterior</w:t>
      </w:r>
      <w:r w:rsidR="00A73CF9" w:rsidRPr="00A73CF9">
        <w:rPr>
          <w:rFonts w:eastAsia="Times New Roman" w:cstheme="minorHAnsi"/>
          <w:color w:val="0070C0"/>
          <w:sz w:val="24"/>
          <w:szCs w:val="24"/>
        </w:rPr>
        <w:t xml:space="preserve"> </w:t>
      </w:r>
      <w:r w:rsidRPr="00417031">
        <w:rPr>
          <w:rFonts w:eastAsia="Times New Roman" w:cstheme="minorHAnsi"/>
          <w:color w:val="000000"/>
          <w:sz w:val="24"/>
          <w:szCs w:val="24"/>
        </w:rPr>
        <w:t>lighting that is powered through the energy service for the building</w:t>
      </w:r>
      <w:r w:rsidRPr="0041703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73CF9">
        <w:rPr>
          <w:rFonts w:eastAsia="Times New Roman" w:cstheme="minorHAnsi"/>
          <w:color w:val="0070C0"/>
          <w:sz w:val="24"/>
          <w:szCs w:val="24"/>
          <w:u w:val="single"/>
        </w:rPr>
        <w:t>and any other building site lighting owned and maintained by the building owner and associated with the building project permit</w:t>
      </w:r>
      <w:r w:rsidRPr="00A73CF9">
        <w:rPr>
          <w:rFonts w:eastAsia="Times New Roman" w:cstheme="minorHAnsi"/>
          <w:color w:val="0070C0"/>
          <w:sz w:val="24"/>
          <w:szCs w:val="24"/>
          <w:u w:val="single"/>
        </w:rPr>
        <w:t>.</w:t>
      </w:r>
    </w:p>
    <w:p w14:paraId="03B1BD29" w14:textId="77777777" w:rsidR="00417031" w:rsidRDefault="00417031" w:rsidP="00417031">
      <w:pPr>
        <w:rPr>
          <w:rFonts w:cstheme="minorHAnsi"/>
          <w:sz w:val="24"/>
          <w:szCs w:val="24"/>
        </w:rPr>
      </w:pPr>
      <w:r w:rsidRPr="00417031">
        <w:rPr>
          <w:rFonts w:cstheme="minorHAnsi"/>
          <w:b/>
          <w:bCs/>
          <w:sz w:val="24"/>
          <w:szCs w:val="24"/>
        </w:rPr>
        <w:t>C405.5.2 Exterior lighting power allowance.</w:t>
      </w:r>
      <w:r w:rsidRPr="00417031">
        <w:rPr>
          <w:rFonts w:cstheme="minorHAnsi"/>
          <w:sz w:val="24"/>
          <w:szCs w:val="24"/>
        </w:rPr>
        <w:t xml:space="preserve"> </w:t>
      </w:r>
    </w:p>
    <w:p w14:paraId="7ADA805C" w14:textId="3DABD25B" w:rsidR="00417031" w:rsidRPr="00417031" w:rsidRDefault="00417031" w:rsidP="00417031">
      <w:pPr>
        <w:rPr>
          <w:rFonts w:cstheme="minorHAnsi"/>
          <w:sz w:val="24"/>
          <w:szCs w:val="24"/>
        </w:rPr>
      </w:pPr>
      <w:r w:rsidRPr="00417031">
        <w:rPr>
          <w:rFonts w:cstheme="minorHAnsi"/>
          <w:sz w:val="24"/>
          <w:szCs w:val="24"/>
        </w:rPr>
        <w:t xml:space="preserve">The exterior lighting power allowance (watts) is calculated as follows: </w:t>
      </w:r>
    </w:p>
    <w:p w14:paraId="2B7B5145" w14:textId="77777777" w:rsidR="00417031" w:rsidRPr="00417031" w:rsidRDefault="00417031" w:rsidP="00417031">
      <w:pPr>
        <w:rPr>
          <w:rFonts w:cstheme="minorHAnsi"/>
          <w:sz w:val="24"/>
          <w:szCs w:val="24"/>
        </w:rPr>
      </w:pPr>
      <w:r w:rsidRPr="00417031">
        <w:rPr>
          <w:rFonts w:cstheme="minorHAnsi"/>
          <w:sz w:val="24"/>
          <w:szCs w:val="24"/>
        </w:rPr>
        <w:t xml:space="preserve">2. For each exterior area that is to be illuminated by lighting that is powered through the energy service for the building </w:t>
      </w:r>
      <w:r w:rsidRPr="00A73CF9">
        <w:rPr>
          <w:rFonts w:cstheme="minorHAnsi"/>
          <w:color w:val="0070C0"/>
          <w:sz w:val="24"/>
          <w:szCs w:val="24"/>
          <w:u w:val="single"/>
        </w:rPr>
        <w:t>and any other building site lighting owned and maintained by the building owner and associated with the building project permit</w:t>
      </w:r>
      <w:r w:rsidRPr="00417031">
        <w:rPr>
          <w:rFonts w:cstheme="minorHAnsi"/>
          <w:sz w:val="24"/>
          <w:szCs w:val="24"/>
        </w:rPr>
        <w:t>, determine the applicable area type from Table C405.5.2(2).</w:t>
      </w:r>
    </w:p>
    <w:p w14:paraId="145B591B" w14:textId="2F32923C" w:rsidR="00417031" w:rsidRPr="00CE15B1" w:rsidRDefault="00CE15B1" w:rsidP="0041703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  <w:r w:rsidRPr="00CE15B1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Reason Statement for Revisions:</w:t>
      </w:r>
    </w:p>
    <w:p w14:paraId="4220D400" w14:textId="7A09EA43" w:rsidR="00CE15B1" w:rsidRPr="00417031" w:rsidRDefault="00CE15B1" w:rsidP="00286F0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NEMA believes the added language addresses the concerns </w:t>
      </w:r>
      <w:r w:rsidR="009120F2">
        <w:rPr>
          <w:rFonts w:ascii="Helvetica" w:eastAsia="Times New Roman" w:hAnsi="Helvetica" w:cs="Helvetica"/>
          <w:color w:val="000000"/>
          <w:sz w:val="21"/>
          <w:szCs w:val="21"/>
        </w:rPr>
        <w:t>of the opponents to CED1-69</w:t>
      </w:r>
      <w:r w:rsidR="00D85C65">
        <w:rPr>
          <w:rFonts w:ascii="Helvetica" w:eastAsia="Times New Roman" w:hAnsi="Helvetica" w:cs="Helvetica"/>
          <w:color w:val="000000"/>
          <w:sz w:val="21"/>
          <w:szCs w:val="21"/>
        </w:rPr>
        <w:t>.</w:t>
      </w:r>
      <w:r w:rsidR="00194B90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r w:rsidR="00C15E0C">
        <w:rPr>
          <w:rFonts w:ascii="Helvetica" w:eastAsia="Times New Roman" w:hAnsi="Helvetica" w:cs="Helvetica"/>
          <w:color w:val="000000"/>
          <w:sz w:val="21"/>
          <w:szCs w:val="21"/>
        </w:rPr>
        <w:t>The new langua</w:t>
      </w:r>
      <w:r w:rsidR="00EB00A3">
        <w:rPr>
          <w:rFonts w:ascii="Helvetica" w:eastAsia="Times New Roman" w:hAnsi="Helvetica" w:cs="Helvetica"/>
          <w:color w:val="000000"/>
          <w:sz w:val="21"/>
          <w:szCs w:val="21"/>
        </w:rPr>
        <w:t>ge ensures that building site lighting that is not owned and maintained</w:t>
      </w:r>
      <w:r w:rsidR="009310F4">
        <w:rPr>
          <w:rFonts w:ascii="Helvetica" w:eastAsia="Times New Roman" w:hAnsi="Helvetica" w:cs="Helvetica"/>
          <w:color w:val="000000"/>
          <w:sz w:val="21"/>
          <w:szCs w:val="21"/>
        </w:rPr>
        <w:t xml:space="preserve"> by the associated building owner or is not within the scope of </w:t>
      </w:r>
      <w:r w:rsidR="007A4319">
        <w:rPr>
          <w:rFonts w:ascii="Helvetica" w:eastAsia="Times New Roman" w:hAnsi="Helvetica" w:cs="Helvetica"/>
          <w:color w:val="000000"/>
          <w:sz w:val="21"/>
          <w:szCs w:val="21"/>
        </w:rPr>
        <w:t xml:space="preserve">a building project permit. </w:t>
      </w:r>
      <w:r w:rsidR="00EF0CD1">
        <w:rPr>
          <w:rFonts w:ascii="Helvetica" w:eastAsia="Times New Roman" w:hAnsi="Helvetica" w:cs="Helvetica"/>
          <w:color w:val="000000"/>
          <w:sz w:val="21"/>
          <w:szCs w:val="21"/>
        </w:rPr>
        <w:t>In short, if the project specifies separate services for</w:t>
      </w:r>
      <w:r w:rsidR="00EB0A0B">
        <w:rPr>
          <w:rFonts w:ascii="Helvetica" w:eastAsia="Times New Roman" w:hAnsi="Helvetica" w:cs="Helvetica"/>
          <w:color w:val="000000"/>
          <w:sz w:val="21"/>
          <w:szCs w:val="21"/>
        </w:rPr>
        <w:t xml:space="preserve"> the building premises wiring system and exterior lighting that are under the same building project permit </w:t>
      </w:r>
      <w:r w:rsidR="0090558C">
        <w:rPr>
          <w:rFonts w:ascii="Helvetica" w:eastAsia="Times New Roman" w:hAnsi="Helvetica" w:cs="Helvetica"/>
          <w:color w:val="000000"/>
          <w:sz w:val="21"/>
          <w:szCs w:val="21"/>
        </w:rPr>
        <w:t xml:space="preserve">or owned and maintained by the building owner, the IECC-C rules apply to that exterior lighting. </w:t>
      </w:r>
      <w:r w:rsidR="00A75268">
        <w:rPr>
          <w:rFonts w:ascii="Helvetica" w:eastAsia="Times New Roman" w:hAnsi="Helvetica" w:cs="Helvetica"/>
          <w:color w:val="000000"/>
          <w:sz w:val="21"/>
          <w:szCs w:val="21"/>
        </w:rPr>
        <w:t xml:space="preserve">If the exterior lighting is owner and maintained by a third party and not under the scope of the building permit project, the IECC-C rules </w:t>
      </w:r>
      <w:r w:rsidR="00ED035A">
        <w:rPr>
          <w:rFonts w:ascii="Helvetica" w:eastAsia="Times New Roman" w:hAnsi="Helvetica" w:cs="Helvetica"/>
          <w:color w:val="000000"/>
          <w:sz w:val="21"/>
          <w:szCs w:val="21"/>
        </w:rPr>
        <w:t>may not apply</w:t>
      </w:r>
      <w:r w:rsidR="008B5C87">
        <w:rPr>
          <w:rFonts w:ascii="Helvetica" w:eastAsia="Times New Roman" w:hAnsi="Helvetica" w:cs="Helvetica"/>
          <w:color w:val="000000"/>
          <w:sz w:val="21"/>
          <w:szCs w:val="21"/>
        </w:rPr>
        <w:t xml:space="preserve">. </w:t>
      </w:r>
      <w:r w:rsidR="008B5C87" w:rsidRPr="008B5C87">
        <w:rPr>
          <w:rFonts w:ascii="Helvetica" w:eastAsia="Times New Roman" w:hAnsi="Helvetica" w:cs="Helvetica"/>
          <w:color w:val="000000"/>
          <w:sz w:val="21"/>
          <w:szCs w:val="21"/>
        </w:rPr>
        <w:t>C503.5 doesn’t apply as long as no alterations are made to any exi</w:t>
      </w:r>
      <w:r w:rsidR="00D91F97">
        <w:rPr>
          <w:rFonts w:ascii="Helvetica" w:eastAsia="Times New Roman" w:hAnsi="Helvetica" w:cs="Helvetica"/>
          <w:color w:val="000000"/>
          <w:sz w:val="21"/>
          <w:szCs w:val="21"/>
        </w:rPr>
        <w:t>s</w:t>
      </w:r>
      <w:r w:rsidR="008B5C87" w:rsidRPr="008B5C87">
        <w:rPr>
          <w:rFonts w:ascii="Helvetica" w:eastAsia="Times New Roman" w:hAnsi="Helvetica" w:cs="Helvetica"/>
          <w:color w:val="000000"/>
          <w:sz w:val="21"/>
          <w:szCs w:val="21"/>
        </w:rPr>
        <w:t>ting lighting</w:t>
      </w:r>
      <w:r w:rsidR="00286F0F">
        <w:rPr>
          <w:rFonts w:ascii="Helvetica" w:eastAsia="Times New Roman" w:hAnsi="Helvetica" w:cs="Helvetica"/>
          <w:color w:val="000000"/>
          <w:sz w:val="21"/>
          <w:szCs w:val="21"/>
        </w:rPr>
        <w:t xml:space="preserve"> on the project site. For example, let’ s say a </w:t>
      </w:r>
      <w:r w:rsidR="00286F0F" w:rsidRPr="00286F0F">
        <w:rPr>
          <w:rFonts w:ascii="Helvetica" w:eastAsia="Times New Roman" w:hAnsi="Helvetica" w:cs="Helvetica"/>
          <w:color w:val="000000"/>
          <w:sz w:val="21"/>
          <w:szCs w:val="21"/>
        </w:rPr>
        <w:t>permit is issued for a new parking lot with lighting that also includes alterations to existing parking lot lighting.</w:t>
      </w:r>
      <w:r w:rsidR="00286F0F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r w:rsidR="00286F0F" w:rsidRPr="00286F0F">
        <w:rPr>
          <w:rFonts w:ascii="Helvetica" w:eastAsia="Times New Roman" w:hAnsi="Helvetica" w:cs="Helvetica"/>
          <w:color w:val="000000"/>
          <w:sz w:val="21"/>
          <w:szCs w:val="21"/>
        </w:rPr>
        <w:t>The new work portion of the permit has to comply with C405.5</w:t>
      </w:r>
      <w:r w:rsidR="004158E6">
        <w:rPr>
          <w:rFonts w:ascii="Helvetica" w:eastAsia="Times New Roman" w:hAnsi="Helvetica" w:cs="Helvetica"/>
          <w:color w:val="000000"/>
          <w:sz w:val="21"/>
          <w:szCs w:val="21"/>
        </w:rPr>
        <w:t>, t</w:t>
      </w:r>
      <w:r w:rsidR="00286F0F" w:rsidRPr="00286F0F">
        <w:rPr>
          <w:rFonts w:ascii="Helvetica" w:eastAsia="Times New Roman" w:hAnsi="Helvetica" w:cs="Helvetica"/>
          <w:color w:val="000000"/>
          <w:sz w:val="21"/>
          <w:szCs w:val="21"/>
        </w:rPr>
        <w:t>he existing work portion complies with C503.5.</w:t>
      </w:r>
      <w:r w:rsidR="004158E6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r w:rsidR="00286F0F" w:rsidRPr="00286F0F">
        <w:rPr>
          <w:rFonts w:ascii="Helvetica" w:eastAsia="Times New Roman" w:hAnsi="Helvetica" w:cs="Helvetica"/>
          <w:color w:val="000000"/>
          <w:sz w:val="21"/>
          <w:szCs w:val="21"/>
        </w:rPr>
        <w:t>C503.5.2(1) tells us all the lighting now has to comply with C405.5. However, C405.5.1 will now say only the lighting that is under the</w:t>
      </w:r>
      <w:r w:rsidR="004158E6">
        <w:rPr>
          <w:rFonts w:ascii="Helvetica" w:eastAsia="Times New Roman" w:hAnsi="Helvetica" w:cs="Helvetica"/>
          <w:color w:val="000000"/>
          <w:sz w:val="21"/>
          <w:szCs w:val="21"/>
        </w:rPr>
        <w:t xml:space="preserve"> scope of the building project</w:t>
      </w:r>
      <w:r w:rsidR="00286F0F" w:rsidRPr="00286F0F">
        <w:rPr>
          <w:rFonts w:ascii="Helvetica" w:eastAsia="Times New Roman" w:hAnsi="Helvetica" w:cs="Helvetica"/>
          <w:color w:val="000000"/>
          <w:sz w:val="21"/>
          <w:szCs w:val="21"/>
        </w:rPr>
        <w:t xml:space="preserve"> permit</w:t>
      </w:r>
      <w:r w:rsidR="004158E6">
        <w:rPr>
          <w:rFonts w:ascii="Helvetica" w:eastAsia="Times New Roman" w:hAnsi="Helvetica" w:cs="Helvetica"/>
          <w:color w:val="000000"/>
          <w:sz w:val="21"/>
          <w:szCs w:val="21"/>
        </w:rPr>
        <w:t>. This prevents a scenario where all existing lighting</w:t>
      </w:r>
      <w:r w:rsidR="00D55351">
        <w:rPr>
          <w:rFonts w:ascii="Helvetica" w:eastAsia="Times New Roman" w:hAnsi="Helvetica" w:cs="Helvetica"/>
          <w:color w:val="000000"/>
          <w:sz w:val="21"/>
          <w:szCs w:val="21"/>
        </w:rPr>
        <w:t xml:space="preserve"> on a property suddenly comes under the </w:t>
      </w:r>
      <w:r w:rsidR="00E16141">
        <w:rPr>
          <w:rFonts w:ascii="Helvetica" w:eastAsia="Times New Roman" w:hAnsi="Helvetica" w:cs="Helvetica"/>
          <w:color w:val="000000"/>
          <w:sz w:val="21"/>
          <w:szCs w:val="21"/>
        </w:rPr>
        <w:t xml:space="preserve">IECC-C compliance requirements as a result of C503.5 requirements. </w:t>
      </w:r>
      <w:r w:rsidR="004158E6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</w:p>
    <w:sectPr w:rsidR="00CE15B1" w:rsidRPr="00417031" w:rsidSect="004170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26"/>
    <w:rsid w:val="00194B90"/>
    <w:rsid w:val="00286F0F"/>
    <w:rsid w:val="004158E6"/>
    <w:rsid w:val="00417031"/>
    <w:rsid w:val="00787726"/>
    <w:rsid w:val="007A4319"/>
    <w:rsid w:val="007C5DFF"/>
    <w:rsid w:val="008945A1"/>
    <w:rsid w:val="008B5C87"/>
    <w:rsid w:val="0090558C"/>
    <w:rsid w:val="009120F2"/>
    <w:rsid w:val="009310F4"/>
    <w:rsid w:val="00A73CF9"/>
    <w:rsid w:val="00A75268"/>
    <w:rsid w:val="00C15E0C"/>
    <w:rsid w:val="00CE15B1"/>
    <w:rsid w:val="00D55351"/>
    <w:rsid w:val="00D85C65"/>
    <w:rsid w:val="00D91F97"/>
    <w:rsid w:val="00DA2D90"/>
    <w:rsid w:val="00E16141"/>
    <w:rsid w:val="00EB00A3"/>
    <w:rsid w:val="00EB0A0B"/>
    <w:rsid w:val="00ED035A"/>
    <w:rsid w:val="00E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E929"/>
  <w15:chartTrackingRefBased/>
  <w15:docId w15:val="{B870FED1-F96D-4DE4-B8B9-2ADD662E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6325">
                              <w:marLeft w:val="375"/>
                              <w:marRight w:val="0"/>
                              <w:marTop w:val="24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8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6449">
                              <w:marLeft w:val="375"/>
                              <w:marRight w:val="0"/>
                              <w:marTop w:val="24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yan.holland@ne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Bryan</dc:creator>
  <cp:keywords/>
  <dc:description/>
  <cp:lastModifiedBy>Holland, Bryan</cp:lastModifiedBy>
  <cp:revision>22</cp:revision>
  <dcterms:created xsi:type="dcterms:W3CDTF">2023-01-19T12:31:00Z</dcterms:created>
  <dcterms:modified xsi:type="dcterms:W3CDTF">2023-01-19T13:10:00Z</dcterms:modified>
</cp:coreProperties>
</file>