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20"/>
          <w:spacing w:val="-4"/>
        </w:rPr>
        <w:t>CEPI-227-</w:t>
      </w:r>
      <w:r>
        <w:rPr>
          <w:color w:val="231F20"/>
          <w:spacing w:val="-5"/>
        </w:rPr>
        <w:t>21</w:t>
      </w:r>
    </w:p>
    <w:p>
      <w:pPr>
        <w:pStyle w:val="Heading1"/>
        <w:spacing w:before="295"/>
      </w:pPr>
      <w:r>
        <w:rPr>
          <w:color w:val="231F20"/>
        </w:rPr>
        <w:t>IECC®: C503.3.2</w:t>
      </w:r>
      <w:r>
        <w:rPr>
          <w:color w:val="231F20"/>
          <w:spacing w:val="6"/>
        </w:rPr>
        <w:t> </w:t>
      </w:r>
      <w:r>
        <w:rPr>
          <w:color w:val="231F20"/>
          <w:spacing w:val="-4"/>
        </w:rPr>
        <w:t>(New)</w:t>
      </w:r>
    </w:p>
    <w:p>
      <w:pPr>
        <w:pStyle w:val="BodyText"/>
        <w:spacing w:before="6"/>
        <w:rPr>
          <w:b/>
        </w:rPr>
      </w:pPr>
    </w:p>
    <w:p>
      <w:pPr>
        <w:spacing w:before="0"/>
        <w:ind w:left="120" w:right="0" w:firstLine="0"/>
        <w:jc w:val="left"/>
        <w:rPr>
          <w:b/>
          <w:sz w:val="18"/>
        </w:rPr>
      </w:pPr>
      <w:r>
        <w:rPr>
          <w:b/>
          <w:color w:val="231F20"/>
          <w:spacing w:val="-2"/>
          <w:sz w:val="18"/>
        </w:rPr>
        <w:t>Proponents:</w:t>
      </w:r>
    </w:p>
    <w:p>
      <w:pPr>
        <w:pStyle w:val="BodyText"/>
        <w:spacing w:before="6"/>
        <w:rPr>
          <w:b/>
        </w:rPr>
      </w:pPr>
    </w:p>
    <w:p>
      <w:pPr>
        <w:pStyle w:val="BodyText"/>
        <w:ind w:left="120"/>
      </w:pPr>
      <w:r>
        <w:rPr>
          <w:color w:val="231F20"/>
        </w:rPr>
        <w:t>Sean</w:t>
      </w:r>
      <w:r>
        <w:rPr>
          <w:color w:val="231F20"/>
          <w:spacing w:val="10"/>
        </w:rPr>
        <w:t> </w:t>
      </w:r>
      <w:r>
        <w:rPr>
          <w:color w:val="231F20"/>
        </w:rPr>
        <w:t>Denniston, representing</w:t>
      </w:r>
      <w:r>
        <w:rPr>
          <w:color w:val="231F20"/>
          <w:spacing w:val="12"/>
        </w:rPr>
        <w:t> </w:t>
      </w:r>
      <w:r>
        <w:rPr>
          <w:color w:val="231F20"/>
        </w:rPr>
        <w:t>New</w:t>
      </w:r>
      <w:r>
        <w:rPr>
          <w:color w:val="231F20"/>
          <w:spacing w:val="12"/>
        </w:rPr>
        <w:t> </w:t>
      </w:r>
      <w:r>
        <w:rPr>
          <w:color w:val="231F20"/>
        </w:rPr>
        <w:t>Buildings</w:t>
      </w:r>
      <w:r>
        <w:rPr>
          <w:color w:val="231F20"/>
          <w:spacing w:val="7"/>
        </w:rPr>
        <w:t> </w:t>
      </w:r>
      <w:r>
        <w:rPr>
          <w:color w:val="231F20"/>
        </w:rPr>
        <w:t>Institute</w:t>
      </w:r>
      <w:r>
        <w:rPr>
          <w:color w:val="231F20"/>
          <w:spacing w:val="13"/>
        </w:rPr>
        <w:t> </w:t>
      </w:r>
      <w:r>
        <w:rPr>
          <w:color w:val="231F20"/>
          <w:spacing w:val="-2"/>
        </w:rPr>
        <w:t>(sean@newbuildings.org)</w:t>
      </w:r>
    </w:p>
    <w:p>
      <w:pPr>
        <w:pStyle w:val="BodyText"/>
        <w:spacing w:before="3"/>
        <w:rPr>
          <w:sz w:val="21"/>
        </w:rPr>
      </w:pPr>
    </w:p>
    <w:p>
      <w:pPr>
        <w:spacing w:before="0"/>
        <w:ind w:left="120" w:right="0" w:firstLine="0"/>
        <w:jc w:val="left"/>
        <w:rPr>
          <w:b/>
          <w:sz w:val="21"/>
        </w:rPr>
      </w:pPr>
      <w:r>
        <w:rPr>
          <w:b/>
          <w:color w:val="231F20"/>
          <w:sz w:val="21"/>
        </w:rPr>
        <w:t>2021</w:t>
      </w:r>
      <w:r>
        <w:rPr>
          <w:b/>
          <w:color w:val="231F20"/>
          <w:spacing w:val="22"/>
          <w:sz w:val="21"/>
        </w:rPr>
        <w:t> </w:t>
      </w:r>
      <w:r>
        <w:rPr>
          <w:b/>
          <w:color w:val="231F20"/>
          <w:sz w:val="21"/>
        </w:rPr>
        <w:t>International</w:t>
      </w:r>
      <w:r>
        <w:rPr>
          <w:b/>
          <w:color w:val="231F20"/>
          <w:spacing w:val="22"/>
          <w:sz w:val="21"/>
        </w:rPr>
        <w:t> </w:t>
      </w:r>
      <w:r>
        <w:rPr>
          <w:b/>
          <w:color w:val="231F20"/>
          <w:sz w:val="21"/>
        </w:rPr>
        <w:t>Energy</w:t>
      </w:r>
      <w:r>
        <w:rPr>
          <w:b/>
          <w:color w:val="231F20"/>
          <w:spacing w:val="23"/>
          <w:sz w:val="21"/>
        </w:rPr>
        <w:t> </w:t>
      </w:r>
      <w:r>
        <w:rPr>
          <w:b/>
          <w:color w:val="231F20"/>
          <w:sz w:val="21"/>
        </w:rPr>
        <w:t>Conservation</w:t>
      </w:r>
      <w:r>
        <w:rPr>
          <w:b/>
          <w:color w:val="231F20"/>
          <w:spacing w:val="28"/>
          <w:sz w:val="21"/>
        </w:rPr>
        <w:t> </w:t>
      </w:r>
      <w:r>
        <w:rPr>
          <w:b/>
          <w:color w:val="231F20"/>
          <w:spacing w:val="-4"/>
          <w:sz w:val="21"/>
        </w:rPr>
        <w:t>Code</w:t>
      </w:r>
    </w:p>
    <w:p>
      <w:pPr>
        <w:pStyle w:val="BodyText"/>
        <w:spacing w:before="10"/>
        <w:rPr>
          <w:b/>
          <w:sz w:val="21"/>
        </w:rPr>
      </w:pPr>
    </w:p>
    <w:p>
      <w:pPr>
        <w:pStyle w:val="Heading1"/>
        <w:spacing w:before="1"/>
      </w:pPr>
      <w:r>
        <w:rPr>
          <w:color w:val="231F20"/>
        </w:rPr>
        <w:t>Add</w:t>
      </w:r>
      <w:r>
        <w:rPr>
          <w:color w:val="231F20"/>
          <w:spacing w:val="-8"/>
        </w:rPr>
        <w:t> </w:t>
      </w:r>
      <w:r>
        <w:rPr>
          <w:color w:val="231F20"/>
        </w:rPr>
        <w:t>new</w:t>
      </w:r>
      <w:r>
        <w:rPr>
          <w:color w:val="231F20"/>
          <w:spacing w:val="-8"/>
        </w:rPr>
        <w:t> </w:t>
      </w:r>
      <w:r>
        <w:rPr>
          <w:color w:val="231F20"/>
        </w:rPr>
        <w:t>text</w:t>
      </w:r>
      <w:r>
        <w:rPr>
          <w:color w:val="231F20"/>
          <w:spacing w:val="-2"/>
        </w:rPr>
        <w:t> </w:t>
      </w:r>
      <w:r>
        <w:rPr>
          <w:color w:val="231F20"/>
        </w:rPr>
        <w:t>as</w:t>
      </w:r>
      <w:r>
        <w:rPr>
          <w:color w:val="231F20"/>
          <w:spacing w:val="2"/>
        </w:rPr>
        <w:t> </w:t>
      </w:r>
      <w:r>
        <w:rPr>
          <w:color w:val="231F20"/>
          <w:spacing w:val="-2"/>
        </w:rPr>
        <w:t>follows:</w:t>
      </w:r>
    </w:p>
    <w:p>
      <w:pPr>
        <w:pStyle w:val="BodyText"/>
        <w:spacing w:before="33"/>
        <w:ind w:left="120"/>
      </w:pPr>
      <w:r>
        <w:rPr>
          <w:color w:val="231F20"/>
          <w:u w:val="single" w:color="231F20"/>
        </w:rPr>
        <w:t>C503.3.2</w:t>
      </w:r>
      <w:r>
        <w:rPr>
          <w:color w:val="231F20"/>
          <w:spacing w:val="8"/>
          <w:u w:val="single" w:color="231F20"/>
        </w:rPr>
        <w:t> </w:t>
      </w:r>
      <w:r>
        <w:rPr>
          <w:color w:val="231F20"/>
          <w:spacing w:val="-2"/>
          <w:u w:val="single" w:color="231F20"/>
        </w:rPr>
        <w:t>Controls</w:t>
      </w:r>
      <w:r>
        <w:rPr>
          <w:color w:val="231F20"/>
          <w:spacing w:val="-2"/>
        </w:rPr>
        <w:t>.</w:t>
      </w:r>
    </w:p>
    <w:p>
      <w:pPr>
        <w:pStyle w:val="BodyText"/>
        <w:spacing w:before="5"/>
      </w:pPr>
    </w:p>
    <w:p>
      <w:pPr>
        <w:pStyle w:val="BodyText"/>
        <w:spacing w:before="1"/>
        <w:ind w:left="120"/>
      </w:pPr>
      <w:r>
        <w:rPr>
          <w:color w:val="231F20"/>
          <w:u w:val="single" w:color="231F20"/>
        </w:rPr>
        <w:t>New</w:t>
      </w:r>
      <w:r>
        <w:rPr>
          <w:color w:val="231F20"/>
          <w:spacing w:val="6"/>
          <w:u w:val="single" w:color="231F20"/>
        </w:rPr>
        <w:t> </w:t>
      </w:r>
      <w:r>
        <w:rPr>
          <w:color w:val="231F20"/>
          <w:u w:val="single" w:color="231F20"/>
        </w:rPr>
        <w:t>heating</w:t>
      </w:r>
      <w:r>
        <w:rPr>
          <w:color w:val="231F20"/>
          <w:spacing w:val="9"/>
          <w:u w:val="single" w:color="231F20"/>
        </w:rPr>
        <w:t> </w:t>
      </w:r>
      <w:r>
        <w:rPr>
          <w:color w:val="231F20"/>
          <w:u w:val="single" w:color="231F20"/>
        </w:rPr>
        <w:t>and</w:t>
      </w:r>
      <w:r>
        <w:rPr>
          <w:color w:val="231F20"/>
          <w:spacing w:val="9"/>
          <w:u w:val="single" w:color="231F20"/>
        </w:rPr>
        <w:t> </w:t>
      </w:r>
      <w:r>
        <w:rPr>
          <w:color w:val="231F20"/>
          <w:u w:val="single" w:color="231F20"/>
        </w:rPr>
        <w:t>cooling</w:t>
      </w:r>
      <w:r>
        <w:rPr>
          <w:color w:val="231F20"/>
          <w:spacing w:val="8"/>
          <w:u w:val="single" w:color="231F20"/>
        </w:rPr>
        <w:t> </w:t>
      </w:r>
      <w:r>
        <w:rPr>
          <w:color w:val="231F20"/>
          <w:u w:val="single" w:color="231F20"/>
        </w:rPr>
        <w:t>equipment</w:t>
      </w:r>
      <w:r>
        <w:rPr>
          <w:color w:val="231F20"/>
          <w:spacing w:val="-2"/>
          <w:u w:val="single" w:color="231F20"/>
        </w:rPr>
        <w:t> </w:t>
      </w:r>
      <w:r>
        <w:rPr>
          <w:color w:val="231F20"/>
          <w:u w:val="single" w:color="231F20"/>
        </w:rPr>
        <w:t>that</w:t>
      </w:r>
      <w:r>
        <w:rPr>
          <w:color w:val="231F20"/>
          <w:spacing w:val="-2"/>
          <w:u w:val="single" w:color="231F20"/>
        </w:rPr>
        <w:t> </w:t>
      </w:r>
      <w:r>
        <w:rPr>
          <w:color w:val="231F20"/>
          <w:u w:val="single" w:color="231F20"/>
        </w:rPr>
        <w:t>are</w:t>
      </w:r>
      <w:r>
        <w:rPr>
          <w:color w:val="231F20"/>
          <w:spacing w:val="9"/>
          <w:u w:val="single" w:color="231F20"/>
        </w:rPr>
        <w:t> </w:t>
      </w:r>
      <w:r>
        <w:rPr>
          <w:color w:val="231F20"/>
          <w:u w:val="single" w:color="231F20"/>
        </w:rPr>
        <w:t>part</w:t>
      </w:r>
      <w:r>
        <w:rPr>
          <w:color w:val="231F20"/>
          <w:spacing w:val="-2"/>
          <w:u w:val="single" w:color="231F20"/>
        </w:rPr>
        <w:t> </w:t>
      </w:r>
      <w:r>
        <w:rPr>
          <w:color w:val="231F20"/>
          <w:u w:val="single" w:color="231F20"/>
        </w:rPr>
        <w:t>of</w:t>
      </w:r>
      <w:r>
        <w:rPr>
          <w:color w:val="231F20"/>
          <w:spacing w:val="-3"/>
          <w:u w:val="single" w:color="231F20"/>
        </w:rPr>
        <w:t> </w:t>
      </w:r>
      <w:r>
        <w:rPr>
          <w:color w:val="231F20"/>
          <w:u w:val="single" w:color="231F20"/>
        </w:rPr>
        <w:t>the</w:t>
      </w:r>
      <w:r>
        <w:rPr>
          <w:color w:val="231F20"/>
          <w:spacing w:val="9"/>
          <w:u w:val="single" w:color="231F20"/>
        </w:rPr>
        <w:t> </w:t>
      </w:r>
      <w:r>
        <w:rPr>
          <w:i/>
          <w:color w:val="231F20"/>
          <w:u w:val="single" w:color="231F20"/>
        </w:rPr>
        <w:t>alteration</w:t>
      </w:r>
      <w:r>
        <w:rPr>
          <w:i/>
          <w:color w:val="231F20"/>
          <w:spacing w:val="9"/>
          <w:u w:val="single" w:color="231F20"/>
        </w:rPr>
        <w:t> </w:t>
      </w:r>
      <w:r>
        <w:rPr>
          <w:color w:val="231F20"/>
          <w:u w:val="single" w:color="231F20"/>
        </w:rPr>
        <w:t>shall</w:t>
      </w:r>
      <w:r>
        <w:rPr>
          <w:color w:val="231F20"/>
          <w:spacing w:val="8"/>
          <w:u w:val="single" w:color="231F20"/>
        </w:rPr>
        <w:t> </w:t>
      </w:r>
      <w:r>
        <w:rPr>
          <w:color w:val="231F20"/>
          <w:u w:val="single" w:color="231F20"/>
        </w:rPr>
        <w:t>be</w:t>
      </w:r>
      <w:r>
        <w:rPr>
          <w:color w:val="231F20"/>
          <w:spacing w:val="9"/>
          <w:u w:val="single" w:color="231F20"/>
        </w:rPr>
        <w:t> </w:t>
      </w:r>
      <w:r>
        <w:rPr>
          <w:color w:val="231F20"/>
          <w:u w:val="single" w:color="231F20"/>
        </w:rPr>
        <w:t>provided</w:t>
      </w:r>
      <w:r>
        <w:rPr>
          <w:color w:val="231F20"/>
          <w:spacing w:val="9"/>
          <w:u w:val="single" w:color="231F20"/>
        </w:rPr>
        <w:t> </w:t>
      </w:r>
      <w:r>
        <w:rPr>
          <w:color w:val="231F20"/>
          <w:u w:val="single" w:color="231F20"/>
        </w:rPr>
        <w:t>with</w:t>
      </w:r>
      <w:r>
        <w:rPr>
          <w:color w:val="231F20"/>
          <w:spacing w:val="9"/>
          <w:u w:val="single" w:color="231F20"/>
        </w:rPr>
        <w:t> </w:t>
      </w:r>
      <w:r>
        <w:rPr>
          <w:color w:val="231F20"/>
          <w:u w:val="single" w:color="231F20"/>
        </w:rPr>
        <w:t>controls</w:t>
      </w:r>
      <w:r>
        <w:rPr>
          <w:color w:val="231F20"/>
          <w:spacing w:val="3"/>
          <w:u w:val="single" w:color="231F20"/>
        </w:rPr>
        <w:t> </w:t>
      </w:r>
      <w:r>
        <w:rPr>
          <w:color w:val="231F20"/>
          <w:u w:val="single" w:color="231F20"/>
        </w:rPr>
        <w:t>that</w:t>
      </w:r>
      <w:r>
        <w:rPr>
          <w:color w:val="231F20"/>
          <w:spacing w:val="-2"/>
          <w:u w:val="single" w:color="231F20"/>
        </w:rPr>
        <w:t> </w:t>
      </w:r>
      <w:r>
        <w:rPr>
          <w:color w:val="231F20"/>
          <w:u w:val="single" w:color="231F20"/>
        </w:rPr>
        <w:t>comply</w:t>
      </w:r>
      <w:r>
        <w:rPr>
          <w:color w:val="231F20"/>
          <w:spacing w:val="4"/>
          <w:u w:val="single" w:color="231F20"/>
        </w:rPr>
        <w:t> </w:t>
      </w:r>
      <w:r>
        <w:rPr>
          <w:color w:val="231F20"/>
          <w:u w:val="single" w:color="231F20"/>
        </w:rPr>
        <w:t>with</w:t>
      </w:r>
      <w:r>
        <w:rPr>
          <w:color w:val="231F20"/>
          <w:spacing w:val="9"/>
          <w:u w:val="single" w:color="231F20"/>
        </w:rPr>
        <w:t> </w:t>
      </w:r>
      <w:r>
        <w:rPr>
          <w:color w:val="231F20"/>
          <w:u w:val="single" w:color="231F20"/>
        </w:rPr>
        <w:t>Section</w:t>
      </w:r>
      <w:r>
        <w:rPr>
          <w:color w:val="231F20"/>
          <w:spacing w:val="9"/>
          <w:u w:val="single" w:color="231F20"/>
        </w:rPr>
        <w:t> </w:t>
      </w:r>
      <w:r>
        <w:rPr>
          <w:color w:val="231F20"/>
          <w:spacing w:val="-2"/>
          <w:u w:val="single" w:color="231F20"/>
        </w:rPr>
        <w:t>C403.4.</w:t>
      </w:r>
    </w:p>
    <w:p>
      <w:pPr>
        <w:pStyle w:val="BodyText"/>
        <w:spacing w:before="5"/>
        <w:rPr>
          <w:sz w:val="12"/>
        </w:rPr>
      </w:pPr>
    </w:p>
    <w:p>
      <w:pPr>
        <w:pStyle w:val="BodyText"/>
        <w:spacing w:before="70"/>
        <w:ind w:left="120"/>
      </w:pPr>
      <w:r>
        <w:rPr>
          <w:b/>
          <w:color w:val="231F20"/>
          <w:u w:val="single" w:color="231F20"/>
        </w:rPr>
        <w:t>Exception:</w:t>
      </w:r>
      <w:r>
        <w:rPr>
          <w:b/>
          <w:color w:val="231F20"/>
          <w:spacing w:val="49"/>
          <w:u w:val="single" w:color="231F20"/>
        </w:rPr>
        <w:t> </w:t>
      </w:r>
      <w:r>
        <w:rPr>
          <w:color w:val="231F20"/>
          <w:u w:val="single" w:color="231F20"/>
        </w:rPr>
        <w:t>Systems</w:t>
      </w:r>
      <w:r>
        <w:rPr>
          <w:color w:val="231F20"/>
          <w:spacing w:val="1"/>
          <w:u w:val="single" w:color="231F20"/>
        </w:rPr>
        <w:t> </w:t>
      </w:r>
      <w:r>
        <w:rPr>
          <w:color w:val="231F20"/>
          <w:u w:val="single" w:color="231F20"/>
        </w:rPr>
        <w:t>with</w:t>
      </w:r>
      <w:r>
        <w:rPr>
          <w:color w:val="231F20"/>
          <w:spacing w:val="6"/>
          <w:u w:val="single" w:color="231F20"/>
        </w:rPr>
        <w:t> </w:t>
      </w:r>
      <w:r>
        <w:rPr>
          <w:color w:val="231F20"/>
          <w:u w:val="single" w:color="231F20"/>
        </w:rPr>
        <w:t>direct</w:t>
      </w:r>
      <w:r>
        <w:rPr>
          <w:color w:val="231F20"/>
          <w:spacing w:val="-5"/>
          <w:u w:val="single" w:color="231F20"/>
        </w:rPr>
        <w:t> </w:t>
      </w:r>
      <w:r>
        <w:rPr>
          <w:color w:val="231F20"/>
          <w:u w:val="single" w:color="231F20"/>
        </w:rPr>
        <w:t>digital</w:t>
      </w:r>
      <w:r>
        <w:rPr>
          <w:color w:val="231F20"/>
          <w:spacing w:val="6"/>
          <w:u w:val="single" w:color="231F20"/>
        </w:rPr>
        <w:t> </w:t>
      </w:r>
      <w:r>
        <w:rPr>
          <w:color w:val="231F20"/>
          <w:u w:val="single" w:color="231F20"/>
        </w:rPr>
        <w:t>control</w:t>
      </w:r>
      <w:r>
        <w:rPr>
          <w:color w:val="231F20"/>
          <w:spacing w:val="5"/>
          <w:u w:val="single" w:color="231F20"/>
        </w:rPr>
        <w:t> </w:t>
      </w:r>
      <w:r>
        <w:rPr>
          <w:color w:val="231F20"/>
          <w:u w:val="single" w:color="231F20"/>
        </w:rPr>
        <w:t>of</w:t>
      </w:r>
      <w:r>
        <w:rPr>
          <w:color w:val="231F20"/>
          <w:spacing w:val="-4"/>
          <w:u w:val="single" w:color="231F20"/>
        </w:rPr>
        <w:t> </w:t>
      </w:r>
      <w:r>
        <w:rPr>
          <w:color w:val="231F20"/>
          <w:u w:val="single" w:color="231F20"/>
        </w:rPr>
        <w:t>individual</w:t>
      </w:r>
      <w:r>
        <w:rPr>
          <w:color w:val="231F20"/>
          <w:spacing w:val="5"/>
          <w:u w:val="single" w:color="231F20"/>
        </w:rPr>
        <w:t> </w:t>
      </w:r>
      <w:r>
        <w:rPr>
          <w:color w:val="231F20"/>
          <w:u w:val="single" w:color="231F20"/>
        </w:rPr>
        <w:t>zones</w:t>
      </w:r>
      <w:r>
        <w:rPr>
          <w:color w:val="231F20"/>
          <w:spacing w:val="1"/>
          <w:u w:val="single" w:color="231F20"/>
        </w:rPr>
        <w:t> </w:t>
      </w:r>
      <w:r>
        <w:rPr>
          <w:color w:val="231F20"/>
          <w:u w:val="single" w:color="231F20"/>
        </w:rPr>
        <w:t>reporting</w:t>
      </w:r>
      <w:r>
        <w:rPr>
          <w:color w:val="231F20"/>
          <w:spacing w:val="6"/>
          <w:u w:val="single" w:color="231F20"/>
        </w:rPr>
        <w:t> </w:t>
      </w:r>
      <w:r>
        <w:rPr>
          <w:color w:val="231F20"/>
          <w:u w:val="single" w:color="231F20"/>
        </w:rPr>
        <w:t>to</w:t>
      </w:r>
      <w:r>
        <w:rPr>
          <w:color w:val="231F20"/>
          <w:spacing w:val="5"/>
          <w:u w:val="single" w:color="231F20"/>
        </w:rPr>
        <w:t> </w:t>
      </w:r>
      <w:r>
        <w:rPr>
          <w:color w:val="231F20"/>
          <w:u w:val="single" w:color="231F20"/>
        </w:rPr>
        <w:t>a</w:t>
      </w:r>
      <w:r>
        <w:rPr>
          <w:color w:val="231F20"/>
          <w:spacing w:val="6"/>
          <w:u w:val="single" w:color="231F20"/>
        </w:rPr>
        <w:t> </w:t>
      </w:r>
      <w:r>
        <w:rPr>
          <w:color w:val="231F20"/>
          <w:u w:val="single" w:color="231F20"/>
        </w:rPr>
        <w:t>central</w:t>
      </w:r>
      <w:r>
        <w:rPr>
          <w:color w:val="231F20"/>
          <w:spacing w:val="5"/>
          <w:u w:val="single" w:color="231F20"/>
        </w:rPr>
        <w:t> </w:t>
      </w:r>
      <w:r>
        <w:rPr>
          <w:color w:val="231F20"/>
          <w:u w:val="single" w:color="231F20"/>
        </w:rPr>
        <w:t>control</w:t>
      </w:r>
      <w:r>
        <w:rPr>
          <w:color w:val="231F20"/>
          <w:spacing w:val="6"/>
          <w:u w:val="single" w:color="231F20"/>
        </w:rPr>
        <w:t> </w:t>
      </w:r>
      <w:r>
        <w:rPr>
          <w:color w:val="231F20"/>
          <w:spacing w:val="-2"/>
          <w:u w:val="single" w:color="231F20"/>
        </w:rPr>
        <w:t>panel</w:t>
      </w:r>
    </w:p>
    <w:p>
      <w:pPr>
        <w:pStyle w:val="BodyText"/>
        <w:spacing w:before="6"/>
        <w:rPr>
          <w:sz w:val="12"/>
        </w:rPr>
      </w:pPr>
    </w:p>
    <w:p>
      <w:pPr>
        <w:pStyle w:val="Heading1"/>
        <w:spacing w:before="69"/>
      </w:pPr>
      <w:r>
        <w:rPr>
          <w:color w:val="231F20"/>
        </w:rPr>
        <w:t>Reason</w:t>
      </w:r>
      <w:r>
        <w:rPr>
          <w:color w:val="231F20"/>
          <w:spacing w:val="1"/>
        </w:rPr>
        <w:t> </w:t>
      </w:r>
      <w:r>
        <w:rPr>
          <w:color w:val="231F20"/>
          <w:spacing w:val="-2"/>
        </w:rPr>
        <w:t>Statement:</w:t>
      </w:r>
    </w:p>
    <w:p>
      <w:pPr>
        <w:pStyle w:val="BodyText"/>
        <w:spacing w:before="6"/>
        <w:rPr>
          <w:b/>
        </w:rPr>
      </w:pPr>
    </w:p>
    <w:p>
      <w:pPr>
        <w:pStyle w:val="BodyText"/>
        <w:spacing w:line="278" w:lineRule="auto"/>
        <w:ind w:left="119" w:right="225"/>
      </w:pPr>
      <w:r>
        <w:rPr>
          <w:color w:val="231F20"/>
        </w:rPr>
        <w:t>The IECC only requires that</w:t>
      </w:r>
      <w:r>
        <w:rPr>
          <w:color w:val="231F20"/>
          <w:spacing w:val="-1"/>
        </w:rPr>
        <w:t> </w:t>
      </w:r>
      <w:r>
        <w:rPr>
          <w:color w:val="231F20"/>
        </w:rPr>
        <w:t>new portions of</w:t>
      </w:r>
      <w:r>
        <w:rPr>
          <w:color w:val="231F20"/>
          <w:spacing w:val="-1"/>
        </w:rPr>
        <w:t> </w:t>
      </w:r>
      <w:r>
        <w:rPr>
          <w:color w:val="231F20"/>
        </w:rPr>
        <w:t>HVAC systems comply with the requirements for new construction.</w:t>
      </w:r>
      <w:r>
        <w:rPr>
          <w:color w:val="231F20"/>
          <w:spacing w:val="40"/>
        </w:rPr>
        <w:t> </w:t>
      </w:r>
      <w:r>
        <w:rPr>
          <w:color w:val="231F20"/>
        </w:rPr>
        <w:t>This leaves unaltered portions of the</w:t>
      </w:r>
      <w:r>
        <w:rPr>
          <w:color w:val="231F20"/>
          <w:spacing w:val="17"/>
        </w:rPr>
        <w:t> </w:t>
      </w:r>
      <w:r>
        <w:rPr>
          <w:color w:val="231F20"/>
        </w:rPr>
        <w:t>HVAC</w:t>
      </w:r>
      <w:r>
        <w:rPr>
          <w:color w:val="231F20"/>
          <w:spacing w:val="18"/>
        </w:rPr>
        <w:t> </w:t>
      </w:r>
      <w:r>
        <w:rPr>
          <w:color w:val="231F20"/>
        </w:rPr>
        <w:t>system unaffected, including</w:t>
      </w:r>
      <w:r>
        <w:rPr>
          <w:color w:val="231F20"/>
          <w:spacing w:val="17"/>
        </w:rPr>
        <w:t> </w:t>
      </w:r>
      <w:r>
        <w:rPr>
          <w:color w:val="231F20"/>
        </w:rPr>
        <w:t>controls. Controls are</w:t>
      </w:r>
      <w:r>
        <w:rPr>
          <w:color w:val="231F20"/>
          <w:spacing w:val="17"/>
        </w:rPr>
        <w:t> </w:t>
      </w:r>
      <w:r>
        <w:rPr>
          <w:color w:val="231F20"/>
        </w:rPr>
        <w:t>a</w:t>
      </w:r>
      <w:r>
        <w:rPr>
          <w:color w:val="231F20"/>
          <w:spacing w:val="17"/>
        </w:rPr>
        <w:t> </w:t>
      </w:r>
      <w:r>
        <w:rPr>
          <w:color w:val="231F20"/>
        </w:rPr>
        <w:t>vital</w:t>
      </w:r>
      <w:r>
        <w:rPr>
          <w:color w:val="231F20"/>
          <w:spacing w:val="17"/>
        </w:rPr>
        <w:t> </w:t>
      </w:r>
      <w:r>
        <w:rPr>
          <w:color w:val="231F20"/>
        </w:rPr>
        <w:t>component of effective</w:t>
      </w:r>
      <w:r>
        <w:rPr>
          <w:color w:val="231F20"/>
          <w:spacing w:val="17"/>
        </w:rPr>
        <w:t> </w:t>
      </w:r>
      <w:r>
        <w:rPr>
          <w:color w:val="231F20"/>
        </w:rPr>
        <w:t>and</w:t>
      </w:r>
      <w:r>
        <w:rPr>
          <w:color w:val="231F20"/>
          <w:spacing w:val="17"/>
        </w:rPr>
        <w:t> </w:t>
      </w:r>
      <w:r>
        <w:rPr>
          <w:color w:val="231F20"/>
        </w:rPr>
        <w:t>efficient operation</w:t>
      </w:r>
      <w:r>
        <w:rPr>
          <w:color w:val="231F20"/>
          <w:spacing w:val="17"/>
        </w:rPr>
        <w:t> </w:t>
      </w:r>
      <w:r>
        <w:rPr>
          <w:color w:val="231F20"/>
        </w:rPr>
        <w:t>of heating</w:t>
      </w:r>
      <w:r>
        <w:rPr>
          <w:color w:val="231F20"/>
          <w:spacing w:val="21"/>
        </w:rPr>
        <w:t> </w:t>
      </w:r>
      <w:r>
        <w:rPr>
          <w:color w:val="231F20"/>
        </w:rPr>
        <w:t>and</w:t>
      </w:r>
      <w:r>
        <w:rPr>
          <w:color w:val="231F20"/>
          <w:spacing w:val="21"/>
        </w:rPr>
        <w:t> </w:t>
      </w:r>
      <w:r>
        <w:rPr>
          <w:color w:val="231F20"/>
        </w:rPr>
        <w:t>cooling</w:t>
      </w:r>
      <w:r>
        <w:rPr>
          <w:color w:val="231F20"/>
          <w:spacing w:val="22"/>
        </w:rPr>
        <w:t> </w:t>
      </w:r>
      <w:r>
        <w:rPr>
          <w:color w:val="231F20"/>
        </w:rPr>
        <w:t>systems</w:t>
      </w:r>
      <w:r>
        <w:rPr>
          <w:color w:val="231F20"/>
          <w:spacing w:val="15"/>
        </w:rPr>
        <w:t> </w:t>
      </w:r>
      <w:r>
        <w:rPr>
          <w:color w:val="231F20"/>
        </w:rPr>
        <w:t>and</w:t>
      </w:r>
      <w:r>
        <w:rPr>
          <w:color w:val="231F20"/>
          <w:spacing w:val="21"/>
        </w:rPr>
        <w:t> </w:t>
      </w:r>
      <w:r>
        <w:rPr>
          <w:color w:val="231F20"/>
        </w:rPr>
        <w:t>older</w:t>
      </w:r>
      <w:r>
        <w:rPr>
          <w:color w:val="231F20"/>
          <w:spacing w:val="15"/>
        </w:rPr>
        <w:t> </w:t>
      </w:r>
      <w:r>
        <w:rPr>
          <w:color w:val="231F20"/>
        </w:rPr>
        <w:t>controls</w:t>
      </w:r>
      <w:r>
        <w:rPr>
          <w:color w:val="231F20"/>
          <w:spacing w:val="15"/>
        </w:rPr>
        <w:t> </w:t>
      </w:r>
      <w:r>
        <w:rPr>
          <w:color w:val="231F20"/>
        </w:rPr>
        <w:t>that do</w:t>
      </w:r>
      <w:r>
        <w:rPr>
          <w:color w:val="231F20"/>
          <w:spacing w:val="21"/>
        </w:rPr>
        <w:t> </w:t>
      </w:r>
      <w:r>
        <w:rPr>
          <w:color w:val="231F20"/>
        </w:rPr>
        <w:t>not meet current code</w:t>
      </w:r>
      <w:r>
        <w:rPr>
          <w:color w:val="231F20"/>
          <w:spacing w:val="21"/>
        </w:rPr>
        <w:t> </w:t>
      </w:r>
      <w:r>
        <w:rPr>
          <w:color w:val="231F20"/>
        </w:rPr>
        <w:t>requirements</w:t>
      </w:r>
      <w:r>
        <w:rPr>
          <w:color w:val="231F20"/>
          <w:spacing w:val="15"/>
        </w:rPr>
        <w:t> </w:t>
      </w:r>
      <w:r>
        <w:rPr>
          <w:color w:val="231F20"/>
        </w:rPr>
        <w:t>significantly</w:t>
      </w:r>
      <w:r>
        <w:rPr>
          <w:color w:val="231F20"/>
          <w:spacing w:val="14"/>
        </w:rPr>
        <w:t> </w:t>
      </w:r>
      <w:r>
        <w:rPr>
          <w:color w:val="231F20"/>
        </w:rPr>
        <w:t>hamper</w:t>
      </w:r>
      <w:r>
        <w:rPr>
          <w:color w:val="231F20"/>
          <w:spacing w:val="15"/>
        </w:rPr>
        <w:t> </w:t>
      </w:r>
      <w:r>
        <w:rPr>
          <w:color w:val="231F20"/>
        </w:rPr>
        <w:t>efficiency</w:t>
      </w:r>
      <w:r>
        <w:rPr>
          <w:color w:val="231F20"/>
          <w:spacing w:val="15"/>
        </w:rPr>
        <w:t> </w:t>
      </w:r>
      <w:r>
        <w:rPr>
          <w:color w:val="231F20"/>
        </w:rPr>
        <w:t>in</w:t>
      </w:r>
      <w:r>
        <w:rPr>
          <w:color w:val="231F20"/>
        </w:rPr>
        <w:t> buildings.</w:t>
      </w:r>
      <w:r>
        <w:rPr>
          <w:color w:val="231F20"/>
          <w:spacing w:val="40"/>
        </w:rPr>
        <w:t> </w:t>
      </w:r>
      <w:r>
        <w:rPr>
          <w:color w:val="231F20"/>
        </w:rPr>
        <w:t>Obsolete controls also increase the operational costs for building owners and tenants.</w:t>
      </w:r>
      <w:r>
        <w:rPr>
          <w:color w:val="231F20"/>
          <w:spacing w:val="40"/>
        </w:rPr>
        <w:t> </w:t>
      </w:r>
      <w:r>
        <w:rPr>
          <w:color w:val="231F20"/>
        </w:rPr>
        <w:t>The IECC has relied on HVAC</w:t>
      </w:r>
      <w:r>
        <w:rPr>
          <w:color w:val="231F20"/>
          <w:spacing w:val="40"/>
        </w:rPr>
        <w:t> </w:t>
      </w:r>
      <w:r>
        <w:rPr>
          <w:color w:val="231F20"/>
        </w:rPr>
        <w:t>controls as a cost-effective means of delivering energy efficiency in buildings, so this is a significant missed opportunity.</w:t>
      </w:r>
      <w:r>
        <w:rPr>
          <w:color w:val="231F20"/>
          <w:spacing w:val="40"/>
        </w:rPr>
        <w:t> </w:t>
      </w:r>
      <w:r>
        <w:rPr>
          <w:color w:val="231F20"/>
        </w:rPr>
        <w:t>Equipment replacement</w:t>
      </w:r>
      <w:r>
        <w:rPr>
          <w:color w:val="231F20"/>
          <w:spacing w:val="-1"/>
        </w:rPr>
        <w:t> </w:t>
      </w:r>
      <w:r>
        <w:rPr>
          <w:color w:val="231F20"/>
        </w:rPr>
        <w:t>is an ideal time to also upgrade controls.</w:t>
      </w:r>
      <w:r>
        <w:rPr>
          <w:color w:val="231F20"/>
          <w:spacing w:val="40"/>
        </w:rPr>
        <w:t> </w:t>
      </w:r>
      <w:r>
        <w:rPr>
          <w:color w:val="231F20"/>
        </w:rPr>
        <w:t>Contractors are onsite,</w:t>
      </w:r>
      <w:r>
        <w:rPr>
          <w:color w:val="231F20"/>
          <w:spacing w:val="-3"/>
        </w:rPr>
        <w:t> </w:t>
      </w:r>
      <w:r>
        <w:rPr>
          <w:color w:val="231F20"/>
        </w:rPr>
        <w:t>operation of</w:t>
      </w:r>
      <w:r>
        <w:rPr>
          <w:color w:val="231F20"/>
          <w:spacing w:val="-1"/>
        </w:rPr>
        <w:t> </w:t>
      </w:r>
      <w:r>
        <w:rPr>
          <w:color w:val="231F20"/>
        </w:rPr>
        <w:t>the HVAC system is already disrupted,</w:t>
      </w:r>
      <w:r>
        <w:rPr>
          <w:color w:val="231F20"/>
          <w:spacing w:val="-1"/>
        </w:rPr>
        <w:t> </w:t>
      </w:r>
      <w:r>
        <w:rPr>
          <w:color w:val="231F20"/>
        </w:rPr>
        <w:t>and the cost of controls would generally be a small line-item cost in the project.</w:t>
      </w:r>
    </w:p>
    <w:p>
      <w:pPr>
        <w:pStyle w:val="BodyText"/>
        <w:spacing w:before="9"/>
        <w:rPr>
          <w:sz w:val="20"/>
        </w:rPr>
      </w:pPr>
    </w:p>
    <w:p>
      <w:pPr>
        <w:pStyle w:val="BodyText"/>
        <w:spacing w:line="278" w:lineRule="auto"/>
        <w:ind w:left="119" w:right="103"/>
      </w:pPr>
      <w:r>
        <w:rPr>
          <w:color w:val="231F20"/>
        </w:rPr>
        <w:t>This missed opportunity is particularly significant given the advent of Building Performance Standards (BPS).</w:t>
      </w:r>
      <w:r>
        <w:rPr>
          <w:color w:val="231F20"/>
          <w:spacing w:val="40"/>
        </w:rPr>
        <w:t> </w:t>
      </w:r>
      <w:r>
        <w:rPr>
          <w:color w:val="231F20"/>
        </w:rPr>
        <w:t>These policies set performance requirements that subject existing buildings need to meet.</w:t>
      </w:r>
      <w:r>
        <w:rPr>
          <w:color w:val="231F20"/>
          <w:spacing w:val="40"/>
        </w:rPr>
        <w:t> </w:t>
      </w:r>
      <w:r>
        <w:rPr>
          <w:color w:val="231F20"/>
        </w:rPr>
        <w:t>States and local jurisdiction around the country including the states of WA and CO and cities like New York, Boston, Washington DC, and St Louis have already adopted Building Performance Standards (BPS).</w:t>
      </w:r>
      <w:r>
        <w:rPr>
          <w:color w:val="231F20"/>
          <w:spacing w:val="40"/>
        </w:rPr>
        <w:t> </w:t>
      </w:r>
      <w:r>
        <w:rPr>
          <w:color w:val="231F20"/>
        </w:rPr>
        <w:t>Many more cities are considering this policy tool as they come to realize that meeting their climate goals will require achieving significant</w:t>
      </w:r>
      <w:r>
        <w:rPr>
          <w:color w:val="231F20"/>
          <w:spacing w:val="-2"/>
        </w:rPr>
        <w:t> </w:t>
      </w:r>
      <w:r>
        <w:rPr>
          <w:color w:val="231F20"/>
        </w:rPr>
        <w:t>energy and/or carbon improvements in existing buildings.</w:t>
      </w:r>
      <w:r>
        <w:rPr>
          <w:color w:val="231F20"/>
          <w:spacing w:val="40"/>
        </w:rPr>
        <w:t> </w:t>
      </w:r>
      <w:r>
        <w:rPr>
          <w:color w:val="231F20"/>
        </w:rPr>
        <w:t>This creates a need for the IECC to be much more pro- active in tailoring requirements specifically for existing buildings.</w:t>
      </w:r>
      <w:r>
        <w:rPr>
          <w:color w:val="231F20"/>
          <w:spacing w:val="40"/>
        </w:rPr>
        <w:t> </w:t>
      </w:r>
      <w:r>
        <w:rPr>
          <w:color w:val="231F20"/>
        </w:rPr>
        <w:t>Building energy retrofits that are implemented as part of alterations, additions and changes in occupancy are far more cost-effective than stand-alone retrofit</w:t>
      </w:r>
      <w:r>
        <w:rPr>
          <w:color w:val="231F20"/>
          <w:spacing w:val="-1"/>
        </w:rPr>
        <w:t> </w:t>
      </w:r>
      <w:r>
        <w:rPr>
          <w:color w:val="231F20"/>
        </w:rPr>
        <w:t>projects implemented only to meet</w:t>
      </w:r>
      <w:r>
        <w:rPr>
          <w:color w:val="231F20"/>
          <w:spacing w:val="-1"/>
        </w:rPr>
        <w:t> </w:t>
      </w:r>
      <w:r>
        <w:rPr>
          <w:color w:val="231F20"/>
        </w:rPr>
        <w:t>a BPS.</w:t>
      </w:r>
      <w:r>
        <w:rPr>
          <w:color w:val="231F20"/>
          <w:spacing w:val="40"/>
        </w:rPr>
        <w:t> </w:t>
      </w:r>
      <w:r>
        <w:rPr>
          <w:color w:val="231F20"/>
        </w:rPr>
        <w:t>By incorporating reasonable and cost-effective retrofits into typical existing building projects, the IECC will both provide additional energy, carbon and cost savings to building owners and tenants and help ensure that more building retrofits are undertaken at opportune and cost-effective times.</w:t>
      </w:r>
    </w:p>
    <w:p>
      <w:pPr>
        <w:pStyle w:val="BodyText"/>
        <w:spacing w:before="9"/>
        <w:rPr>
          <w:sz w:val="20"/>
        </w:rPr>
      </w:pPr>
    </w:p>
    <w:p>
      <w:pPr>
        <w:pStyle w:val="BodyText"/>
        <w:spacing w:line="278" w:lineRule="auto"/>
        <w:ind w:left="119" w:right="225"/>
      </w:pPr>
      <w:r>
        <w:rPr>
          <w:color w:val="231F20"/>
        </w:rPr>
        <w:t>This proposal requires that thermostatic controls be brought into compliance with current control requirements when equipment is replaced.</w:t>
      </w:r>
      <w:r>
        <w:rPr>
          <w:color w:val="231F20"/>
          <w:spacing w:val="40"/>
        </w:rPr>
        <w:t> </w:t>
      </w:r>
      <w:r>
        <w:rPr>
          <w:color w:val="231F20"/>
        </w:rPr>
        <w:t>It includes an exception for systems with complex central control systems where control upgrades would be far more involved.</w:t>
      </w:r>
      <w:r>
        <w:rPr>
          <w:color w:val="231F20"/>
          <w:spacing w:val="40"/>
        </w:rPr>
        <w:t> </w:t>
      </w:r>
      <w:r>
        <w:rPr>
          <w:color w:val="231F20"/>
        </w:rPr>
        <w:t>The proposal does not require the installation of new controls, so if the existing controls already meet current code requirements, they would already be in compliance with this new section.</w:t>
      </w:r>
    </w:p>
    <w:p>
      <w:pPr>
        <w:pStyle w:val="BodyText"/>
        <w:spacing w:before="7"/>
        <w:rPr>
          <w:sz w:val="15"/>
        </w:rPr>
      </w:pPr>
    </w:p>
    <w:p>
      <w:pPr>
        <w:pStyle w:val="Heading1"/>
        <w:ind w:left="119"/>
      </w:pPr>
      <w:r>
        <w:rPr>
          <w:color w:val="231F20"/>
        </w:rPr>
        <w:t>Cost</w:t>
      </w:r>
      <w:r>
        <w:rPr>
          <w:color w:val="231F20"/>
          <w:spacing w:val="-4"/>
        </w:rPr>
        <w:t> </w:t>
      </w:r>
      <w:r>
        <w:rPr>
          <w:color w:val="231F20"/>
          <w:spacing w:val="-2"/>
        </w:rPr>
        <w:t>Impact:</w:t>
      </w:r>
    </w:p>
    <w:p>
      <w:pPr>
        <w:pStyle w:val="BodyText"/>
        <w:spacing w:before="6"/>
        <w:rPr>
          <w:b/>
        </w:rPr>
      </w:pPr>
    </w:p>
    <w:p>
      <w:pPr>
        <w:pStyle w:val="BodyText"/>
        <w:ind w:left="119"/>
      </w:pPr>
      <w:r>
        <w:rPr>
          <w:color w:val="231F20"/>
        </w:rPr>
        <w:t>The</w:t>
      </w:r>
      <w:r>
        <w:rPr>
          <w:color w:val="231F20"/>
          <w:spacing w:val="7"/>
        </w:rPr>
        <w:t> </w:t>
      </w:r>
      <w:r>
        <w:rPr>
          <w:color w:val="231F20"/>
        </w:rPr>
        <w:t>code</w:t>
      </w:r>
      <w:r>
        <w:rPr>
          <w:color w:val="231F20"/>
          <w:spacing w:val="8"/>
        </w:rPr>
        <w:t> </w:t>
      </w:r>
      <w:r>
        <w:rPr>
          <w:color w:val="231F20"/>
        </w:rPr>
        <w:t>change</w:t>
      </w:r>
      <w:r>
        <w:rPr>
          <w:color w:val="231F20"/>
          <w:spacing w:val="8"/>
        </w:rPr>
        <w:t> </w:t>
      </w:r>
      <w:r>
        <w:rPr>
          <w:color w:val="231F20"/>
        </w:rPr>
        <w:t>proposal</w:t>
      </w:r>
      <w:r>
        <w:rPr>
          <w:color w:val="231F20"/>
          <w:spacing w:val="7"/>
        </w:rPr>
        <w:t> </w:t>
      </w:r>
      <w:r>
        <w:rPr>
          <w:color w:val="231F20"/>
        </w:rPr>
        <w:t>will</w:t>
      </w:r>
      <w:r>
        <w:rPr>
          <w:color w:val="231F20"/>
          <w:spacing w:val="8"/>
        </w:rPr>
        <w:t> </w:t>
      </w:r>
      <w:r>
        <w:rPr>
          <w:color w:val="231F20"/>
        </w:rPr>
        <w:t>increase</w:t>
      </w:r>
      <w:r>
        <w:rPr>
          <w:color w:val="231F20"/>
          <w:spacing w:val="8"/>
        </w:rPr>
        <w:t> </w:t>
      </w:r>
      <w:r>
        <w:rPr>
          <w:color w:val="231F20"/>
        </w:rPr>
        <w:t>the</w:t>
      </w:r>
      <w:r>
        <w:rPr>
          <w:color w:val="231F20"/>
          <w:spacing w:val="7"/>
        </w:rPr>
        <w:t> </w:t>
      </w:r>
      <w:r>
        <w:rPr>
          <w:color w:val="231F20"/>
        </w:rPr>
        <w:t>cost</w:t>
      </w:r>
      <w:r>
        <w:rPr>
          <w:color w:val="231F20"/>
          <w:spacing w:val="-3"/>
        </w:rPr>
        <w:t> </w:t>
      </w:r>
      <w:r>
        <w:rPr>
          <w:color w:val="231F20"/>
        </w:rPr>
        <w:t>of</w:t>
      </w:r>
      <w:r>
        <w:rPr>
          <w:color w:val="231F20"/>
          <w:spacing w:val="-2"/>
        </w:rPr>
        <w:t> construction.</w:t>
      </w:r>
    </w:p>
    <w:p>
      <w:pPr>
        <w:pStyle w:val="BodyText"/>
        <w:spacing w:before="6"/>
      </w:pPr>
    </w:p>
    <w:p>
      <w:pPr>
        <w:pStyle w:val="BodyText"/>
        <w:spacing w:line="278" w:lineRule="auto"/>
        <w:ind w:left="120" w:right="403" w:hanging="1"/>
        <w:jc w:val="both"/>
      </w:pPr>
      <w:r>
        <w:rPr>
          <w:color w:val="231F20"/>
        </w:rPr>
        <w:t>Cost</w:t>
      </w:r>
      <w:r>
        <w:rPr>
          <w:color w:val="231F20"/>
          <w:spacing w:val="-3"/>
        </w:rPr>
        <w:t> </w:t>
      </w:r>
      <w:r>
        <w:rPr>
          <w:color w:val="231F20"/>
        </w:rPr>
        <w:t>will vary depending on the type of</w:t>
      </w:r>
      <w:r>
        <w:rPr>
          <w:color w:val="231F20"/>
          <w:spacing w:val="-3"/>
        </w:rPr>
        <w:t> </w:t>
      </w:r>
      <w:r>
        <w:rPr>
          <w:color w:val="231F20"/>
        </w:rPr>
        <w:t>control and how obsolete existing controls are.</w:t>
      </w:r>
      <w:r>
        <w:rPr>
          <w:color w:val="231F20"/>
          <w:spacing w:val="40"/>
        </w:rPr>
        <w:t> </w:t>
      </w:r>
      <w:r>
        <w:rPr>
          <w:color w:val="231F20"/>
        </w:rPr>
        <w:t>In most</w:t>
      </w:r>
      <w:r>
        <w:rPr>
          <w:color w:val="231F20"/>
          <w:spacing w:val="-4"/>
        </w:rPr>
        <w:t> </w:t>
      </w:r>
      <w:r>
        <w:rPr>
          <w:color w:val="231F20"/>
        </w:rPr>
        <w:t>systems subject</w:t>
      </w:r>
      <w:r>
        <w:rPr>
          <w:color w:val="231F20"/>
          <w:spacing w:val="-3"/>
        </w:rPr>
        <w:t> </w:t>
      </w:r>
      <w:r>
        <w:rPr>
          <w:color w:val="231F20"/>
        </w:rPr>
        <w:t>to this requirement, compliance would require replacing one thermostat with another.</w:t>
      </w:r>
      <w:r>
        <w:rPr>
          <w:color w:val="231F20"/>
          <w:spacing w:val="40"/>
        </w:rPr>
        <w:t> </w:t>
      </w:r>
      <w:r>
        <w:rPr>
          <w:color w:val="231F20"/>
        </w:rPr>
        <w:t>Modern, wireless thermostats can be used to control costs when existing control wiring is insufficient to support modern controls.</w:t>
      </w:r>
    </w:p>
    <w:p>
      <w:pPr>
        <w:pStyle w:val="BodyText"/>
        <w:spacing w:before="10"/>
        <w:rPr>
          <w:sz w:val="20"/>
        </w:rPr>
      </w:pPr>
    </w:p>
    <w:p>
      <w:pPr>
        <w:pStyle w:val="BodyText"/>
        <w:spacing w:line="278" w:lineRule="auto"/>
        <w:ind w:left="120" w:right="317"/>
        <w:jc w:val="both"/>
      </w:pPr>
      <w:r>
        <w:rPr>
          <w:color w:val="231F20"/>
        </w:rPr>
        <w:t>The modern,</w:t>
      </w:r>
      <w:r>
        <w:rPr>
          <w:color w:val="231F20"/>
          <w:spacing w:val="-1"/>
        </w:rPr>
        <w:t> </w:t>
      </w:r>
      <w:r>
        <w:rPr>
          <w:color w:val="231F20"/>
        </w:rPr>
        <w:t>single-zone thermostatic controls subject</w:t>
      </w:r>
      <w:r>
        <w:rPr>
          <w:color w:val="231F20"/>
          <w:spacing w:val="-1"/>
        </w:rPr>
        <w:t> </w:t>
      </w:r>
      <w:r>
        <w:rPr>
          <w:color w:val="231F20"/>
        </w:rPr>
        <w:t>to this requirement</w:t>
      </w:r>
      <w:r>
        <w:rPr>
          <w:color w:val="231F20"/>
          <w:spacing w:val="-1"/>
        </w:rPr>
        <w:t> </w:t>
      </w:r>
      <w:r>
        <w:rPr>
          <w:color w:val="231F20"/>
        </w:rPr>
        <w:t>can be purchased for less than $30.[1]</w:t>
      </w:r>
      <w:r>
        <w:rPr>
          <w:color w:val="231F20"/>
          <w:spacing w:val="40"/>
        </w:rPr>
        <w:t> </w:t>
      </w:r>
      <w:r>
        <w:rPr>
          <w:color w:val="231F20"/>
        </w:rPr>
        <w:t>Thermostat</w:t>
      </w:r>
      <w:r>
        <w:rPr>
          <w:color w:val="231F20"/>
          <w:spacing w:val="-1"/>
        </w:rPr>
        <w:t> </w:t>
      </w:r>
      <w:r>
        <w:rPr>
          <w:color w:val="231F20"/>
        </w:rPr>
        <w:t>swaps should easily represent only a fraction of an hour of additional labor.</w:t>
      </w:r>
    </w:p>
    <w:p>
      <w:pPr>
        <w:pStyle w:val="BodyText"/>
      </w:pPr>
    </w:p>
    <w:p>
      <w:pPr>
        <w:pStyle w:val="BodyText"/>
      </w:pPr>
    </w:p>
    <w:p>
      <w:pPr>
        <w:pStyle w:val="BodyText"/>
        <w:spacing w:before="1"/>
        <w:rPr>
          <w:sz w:val="16"/>
        </w:rPr>
      </w:pPr>
    </w:p>
    <w:p>
      <w:pPr>
        <w:pStyle w:val="BodyText"/>
        <w:spacing w:line="278" w:lineRule="auto" w:before="1"/>
        <w:ind w:left="120" w:right="139"/>
      </w:pPr>
      <w:r>
        <w:rPr>
          <w:color w:val="231F20"/>
        </w:rPr>
        <w:t>[1]</w:t>
      </w:r>
      <w:r>
        <w:rPr>
          <w:color w:val="231F20"/>
          <w:spacing w:val="-11"/>
        </w:rPr>
        <w:t> </w:t>
      </w:r>
      <w:r>
        <w:rPr>
          <w:color w:val="231F20"/>
        </w:rPr>
        <w:t>https://</w:t>
      </w:r>
      <w:hyperlink r:id="rId5">
        <w:r>
          <w:rPr>
            <w:color w:val="231F20"/>
          </w:rPr>
          <w:t>www.supplyhouse.com/Lux-P711-010-7-Day-5-2-day-Programming-or-Non-Programmable-Thermostat-Horizontal-Mount-1-</w:t>
        </w:r>
      </w:hyperlink>
      <w:r>
        <w:rPr>
          <w:color w:val="231F20"/>
        </w:rPr>
        <w:t> </w:t>
      </w:r>
      <w:r>
        <w:rPr>
          <w:color w:val="231F20"/>
          <w:spacing w:val="-2"/>
        </w:rPr>
        <w:t>Heat-1-Cool</w:t>
      </w:r>
    </w:p>
    <w:p>
      <w:pPr>
        <w:pStyle w:val="BodyText"/>
        <w:spacing w:before="7"/>
        <w:rPr>
          <w:sz w:val="15"/>
        </w:rPr>
      </w:pPr>
    </w:p>
    <w:p>
      <w:pPr>
        <w:pStyle w:val="BodyText"/>
        <w:ind w:left="120"/>
      </w:pPr>
      <w:r>
        <w:rPr>
          <w:color w:val="231F20"/>
        </w:rPr>
        <w:t>CEPI-227-</w:t>
      </w:r>
      <w:r>
        <w:rPr>
          <w:color w:val="231F20"/>
          <w:spacing w:val="-5"/>
        </w:rPr>
        <w:t>21</w:t>
      </w:r>
    </w:p>
    <w:p>
      <w:pPr>
        <w:pStyle w:val="BodyText"/>
      </w:pPr>
    </w:p>
    <w:p>
      <w:pPr>
        <w:pStyle w:val="BodyText"/>
      </w:pPr>
    </w:p>
    <w:p>
      <w:pPr>
        <w:pStyle w:val="BodyText"/>
        <w:spacing w:before="7"/>
        <w:rPr>
          <w:sz w:val="21"/>
        </w:rPr>
      </w:pPr>
    </w:p>
    <w:p>
      <w:pPr>
        <w:tabs>
          <w:tab w:pos="9770" w:val="left" w:leader="none"/>
        </w:tabs>
        <w:spacing w:before="0"/>
        <w:ind w:left="900" w:right="0" w:firstLine="0"/>
        <w:jc w:val="left"/>
        <w:rPr>
          <w:b/>
          <w:sz w:val="16"/>
        </w:rPr>
      </w:pPr>
      <w:r>
        <w:rPr>
          <w:b/>
          <w:color w:val="231F20"/>
          <w:sz w:val="16"/>
        </w:rPr>
        <w:t>2021</w:t>
      </w:r>
      <w:r>
        <w:rPr>
          <w:b/>
          <w:color w:val="231F20"/>
          <w:spacing w:val="-5"/>
          <w:sz w:val="16"/>
        </w:rPr>
        <w:t> </w:t>
      </w:r>
      <w:r>
        <w:rPr>
          <w:b/>
          <w:color w:val="231F20"/>
          <w:sz w:val="16"/>
        </w:rPr>
        <w:t>PUBLIC</w:t>
      </w:r>
      <w:r>
        <w:rPr>
          <w:b/>
          <w:color w:val="231F20"/>
          <w:spacing w:val="-1"/>
          <w:sz w:val="16"/>
        </w:rPr>
        <w:t> </w:t>
      </w:r>
      <w:r>
        <w:rPr>
          <w:b/>
          <w:color w:val="231F20"/>
          <w:sz w:val="16"/>
        </w:rPr>
        <w:t>INPUT</w:t>
      </w:r>
      <w:r>
        <w:rPr>
          <w:b/>
          <w:color w:val="231F20"/>
          <w:spacing w:val="-2"/>
          <w:sz w:val="16"/>
        </w:rPr>
        <w:t> </w:t>
      </w:r>
      <w:r>
        <w:rPr>
          <w:b/>
          <w:color w:val="231F20"/>
          <w:sz w:val="16"/>
        </w:rPr>
        <w:t>TO</w:t>
      </w:r>
      <w:r>
        <w:rPr>
          <w:b/>
          <w:color w:val="231F20"/>
          <w:spacing w:val="-1"/>
          <w:sz w:val="16"/>
        </w:rPr>
        <w:t> </w:t>
      </w:r>
      <w:r>
        <w:rPr>
          <w:b/>
          <w:color w:val="231F20"/>
          <w:sz w:val="16"/>
        </w:rPr>
        <w:t>THE</w:t>
      </w:r>
      <w:r>
        <w:rPr>
          <w:b/>
          <w:color w:val="231F20"/>
          <w:spacing w:val="-2"/>
          <w:sz w:val="16"/>
        </w:rPr>
        <w:t> </w:t>
      </w:r>
      <w:r>
        <w:rPr>
          <w:b/>
          <w:color w:val="231F20"/>
          <w:sz w:val="16"/>
        </w:rPr>
        <w:t>2021</w:t>
      </w:r>
      <w:r>
        <w:rPr>
          <w:b/>
          <w:color w:val="231F20"/>
          <w:spacing w:val="-2"/>
          <w:sz w:val="16"/>
        </w:rPr>
        <w:t> </w:t>
      </w:r>
      <w:r>
        <w:rPr>
          <w:b/>
          <w:color w:val="231F20"/>
          <w:sz w:val="16"/>
        </w:rPr>
        <w:t>IECC,</w:t>
      </w:r>
      <w:r>
        <w:rPr>
          <w:b/>
          <w:color w:val="231F20"/>
          <w:spacing w:val="-2"/>
          <w:sz w:val="16"/>
        </w:rPr>
        <w:t> </w:t>
      </w:r>
      <w:r>
        <w:rPr>
          <w:b/>
          <w:color w:val="231F20"/>
          <w:sz w:val="16"/>
        </w:rPr>
        <w:t>IRC</w:t>
      </w:r>
      <w:r>
        <w:rPr>
          <w:b/>
          <w:color w:val="231F20"/>
          <w:spacing w:val="-1"/>
          <w:sz w:val="16"/>
        </w:rPr>
        <w:t> </w:t>
      </w:r>
      <w:r>
        <w:rPr>
          <w:b/>
          <w:color w:val="231F20"/>
          <w:sz w:val="16"/>
        </w:rPr>
        <w:t>CH.</w:t>
      </w:r>
      <w:r>
        <w:rPr>
          <w:b/>
          <w:color w:val="231F20"/>
          <w:spacing w:val="-3"/>
          <w:sz w:val="16"/>
        </w:rPr>
        <w:t> </w:t>
      </w:r>
      <w:r>
        <w:rPr>
          <w:b/>
          <w:color w:val="231F20"/>
          <w:sz w:val="16"/>
        </w:rPr>
        <w:t>11,</w:t>
      </w:r>
      <w:r>
        <w:rPr>
          <w:b/>
          <w:color w:val="231F20"/>
          <w:spacing w:val="-2"/>
          <w:sz w:val="16"/>
        </w:rPr>
        <w:t> </w:t>
      </w:r>
      <w:r>
        <w:rPr>
          <w:b/>
          <w:color w:val="231F20"/>
          <w:sz w:val="16"/>
        </w:rPr>
        <w:t>AND</w:t>
      </w:r>
      <w:r>
        <w:rPr>
          <w:b/>
          <w:color w:val="231F20"/>
          <w:spacing w:val="-3"/>
          <w:sz w:val="16"/>
        </w:rPr>
        <w:t> </w:t>
      </w:r>
      <w:r>
        <w:rPr>
          <w:b/>
          <w:color w:val="231F20"/>
          <w:sz w:val="16"/>
        </w:rPr>
        <w:t>ICCPC</w:t>
      </w:r>
      <w:r>
        <w:rPr>
          <w:b/>
          <w:color w:val="231F20"/>
          <w:spacing w:val="-1"/>
          <w:sz w:val="16"/>
        </w:rPr>
        <w:t> </w:t>
      </w:r>
      <w:r>
        <w:rPr>
          <w:b/>
          <w:color w:val="231F20"/>
          <w:sz w:val="16"/>
        </w:rPr>
        <w:t>CH.</w:t>
      </w:r>
      <w:r>
        <w:rPr>
          <w:b/>
          <w:color w:val="231F20"/>
          <w:spacing w:val="-2"/>
          <w:sz w:val="16"/>
        </w:rPr>
        <w:t> </w:t>
      </w:r>
      <w:r>
        <w:rPr>
          <w:b/>
          <w:color w:val="231F20"/>
          <w:spacing w:val="-5"/>
          <w:sz w:val="16"/>
        </w:rPr>
        <w:t>15</w:t>
      </w:r>
      <w:r>
        <w:rPr>
          <w:b/>
          <w:color w:val="231F20"/>
          <w:sz w:val="16"/>
        </w:rPr>
        <w:tab/>
      </w:r>
      <w:r>
        <w:rPr>
          <w:b/>
          <w:color w:val="231F20"/>
          <w:spacing w:val="-2"/>
          <w:sz w:val="16"/>
        </w:rPr>
        <w:t>CE733</w:t>
      </w:r>
    </w:p>
    <w:sectPr>
      <w:type w:val="continuous"/>
      <w:pgSz w:w="12240" w:h="15840"/>
      <w:pgMar w:top="860" w:bottom="0" w:left="5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120"/>
      <w:outlineLvl w:val="1"/>
    </w:pPr>
    <w:rPr>
      <w:rFonts w:ascii="Arial" w:hAnsi="Arial" w:eastAsia="Arial" w:cs="Arial"/>
      <w:b/>
      <w:bCs/>
      <w:sz w:val="18"/>
      <w:szCs w:val="18"/>
    </w:rPr>
  </w:style>
  <w:style w:styleId="Title" w:type="paragraph">
    <w:name w:val="Title"/>
    <w:basedOn w:val="Normal"/>
    <w:uiPriority w:val="1"/>
    <w:qFormat/>
    <w:pPr>
      <w:spacing w:before="17"/>
      <w:ind w:left="120"/>
    </w:pPr>
    <w:rPr>
      <w:rFonts w:ascii="Arial" w:hAnsi="Arial" w:eastAsia="Arial" w:cs="Arial"/>
      <w:b/>
      <w:bCs/>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upplyhouse.com/Lux-P711-010-7-Day-5-2-day-Programming-or-Non-Programmable-Thermostat-Horizontal-Mou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johnb</dc:creator>
  <dc:title>2021-Public-Input-Complete-Monograph_-Revised-12-14-2021_reduced-file-sizeII.pdf</dc:title>
  <dcterms:created xsi:type="dcterms:W3CDTF">2022-04-20T17:47:46Z</dcterms:created>
  <dcterms:modified xsi:type="dcterms:W3CDTF">2022-04-20T17:47:46Z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Adobe Acrobat Pro 11.0.23</vt:lpwstr>
  </property>
  <property fmtid="{D5CDD505-2E9C-101B-9397-08002B2CF9AE}" pid="4" name="LastSaved">
    <vt:filetime>2022-04-20T00:00:00Z</vt:filetime>
  </property>
</Properties>
</file>