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20"/>
          <w:spacing w:val="-4"/>
        </w:rPr>
        <w:t>CEPI-228-</w:t>
      </w:r>
      <w:r>
        <w:rPr>
          <w:color w:val="231F20"/>
          <w:spacing w:val="-5"/>
        </w:rPr>
        <w:t>21</w:t>
      </w:r>
    </w:p>
    <w:p>
      <w:pPr>
        <w:pStyle w:val="Heading1"/>
        <w:spacing w:before="295"/>
      </w:pPr>
      <w:r>
        <w:rPr>
          <w:color w:val="231F20"/>
        </w:rPr>
        <w:t>IECC®: C503.3.2</w:t>
      </w:r>
      <w:r>
        <w:rPr>
          <w:color w:val="231F20"/>
          <w:spacing w:val="6"/>
        </w:rPr>
        <w:t> </w:t>
      </w:r>
      <w:r>
        <w:rPr>
          <w:color w:val="231F20"/>
          <w:spacing w:val="-4"/>
        </w:rPr>
        <w:t>(New)</w:t>
      </w:r>
    </w:p>
    <w:p>
      <w:pPr>
        <w:pStyle w:val="BodyText"/>
        <w:spacing w:before="6"/>
        <w:rPr>
          <w:b/>
        </w:rPr>
      </w:pPr>
    </w:p>
    <w:p>
      <w:pPr>
        <w:spacing w:before="0"/>
        <w:ind w:left="120" w:right="0" w:firstLine="0"/>
        <w:jc w:val="left"/>
        <w:rPr>
          <w:b/>
          <w:sz w:val="18"/>
        </w:rPr>
      </w:pPr>
      <w:r>
        <w:rPr>
          <w:b/>
          <w:color w:val="231F20"/>
          <w:spacing w:val="-2"/>
          <w:sz w:val="18"/>
        </w:rPr>
        <w:t>Proponents:</w:t>
      </w:r>
    </w:p>
    <w:p>
      <w:pPr>
        <w:pStyle w:val="BodyText"/>
        <w:spacing w:before="6"/>
        <w:rPr>
          <w:b/>
        </w:rPr>
      </w:pPr>
    </w:p>
    <w:p>
      <w:pPr>
        <w:pStyle w:val="BodyText"/>
        <w:ind w:left="120"/>
      </w:pPr>
      <w:r>
        <w:rPr>
          <w:color w:val="231F20"/>
        </w:rPr>
        <w:t>Sean</w:t>
      </w:r>
      <w:r>
        <w:rPr>
          <w:color w:val="231F20"/>
          <w:spacing w:val="10"/>
        </w:rPr>
        <w:t> </w:t>
      </w:r>
      <w:r>
        <w:rPr>
          <w:color w:val="231F20"/>
        </w:rPr>
        <w:t>Denniston, representing</w:t>
      </w:r>
      <w:r>
        <w:rPr>
          <w:color w:val="231F20"/>
          <w:spacing w:val="12"/>
        </w:rPr>
        <w:t> </w:t>
      </w:r>
      <w:r>
        <w:rPr>
          <w:color w:val="231F20"/>
        </w:rPr>
        <w:t>New</w:t>
      </w:r>
      <w:r>
        <w:rPr>
          <w:color w:val="231F20"/>
          <w:spacing w:val="12"/>
        </w:rPr>
        <w:t> </w:t>
      </w:r>
      <w:r>
        <w:rPr>
          <w:color w:val="231F20"/>
        </w:rPr>
        <w:t>Buildings</w:t>
      </w:r>
      <w:r>
        <w:rPr>
          <w:color w:val="231F20"/>
          <w:spacing w:val="7"/>
        </w:rPr>
        <w:t> </w:t>
      </w:r>
      <w:r>
        <w:rPr>
          <w:color w:val="231F20"/>
        </w:rPr>
        <w:t>Institute</w:t>
      </w:r>
      <w:r>
        <w:rPr>
          <w:color w:val="231F20"/>
          <w:spacing w:val="13"/>
        </w:rPr>
        <w:t> </w:t>
      </w:r>
      <w:r>
        <w:rPr>
          <w:color w:val="231F20"/>
          <w:spacing w:val="-2"/>
        </w:rPr>
        <w:t>(sean@newbuildings.org)</w:t>
      </w:r>
    </w:p>
    <w:p>
      <w:pPr>
        <w:pStyle w:val="BodyText"/>
        <w:spacing w:before="3"/>
        <w:rPr>
          <w:sz w:val="21"/>
        </w:rPr>
      </w:pPr>
    </w:p>
    <w:p>
      <w:pPr>
        <w:spacing w:before="0"/>
        <w:ind w:left="120" w:right="0" w:firstLine="0"/>
        <w:jc w:val="left"/>
        <w:rPr>
          <w:b/>
          <w:sz w:val="21"/>
        </w:rPr>
      </w:pPr>
      <w:r>
        <w:rPr>
          <w:b/>
          <w:color w:val="231F20"/>
          <w:sz w:val="21"/>
        </w:rPr>
        <w:t>2021</w:t>
      </w:r>
      <w:r>
        <w:rPr>
          <w:b/>
          <w:color w:val="231F20"/>
          <w:spacing w:val="22"/>
          <w:sz w:val="21"/>
        </w:rPr>
        <w:t> </w:t>
      </w:r>
      <w:r>
        <w:rPr>
          <w:b/>
          <w:color w:val="231F20"/>
          <w:sz w:val="21"/>
        </w:rPr>
        <w:t>International</w:t>
      </w:r>
      <w:r>
        <w:rPr>
          <w:b/>
          <w:color w:val="231F20"/>
          <w:spacing w:val="22"/>
          <w:sz w:val="21"/>
        </w:rPr>
        <w:t> </w:t>
      </w:r>
      <w:r>
        <w:rPr>
          <w:b/>
          <w:color w:val="231F20"/>
          <w:sz w:val="21"/>
        </w:rPr>
        <w:t>Energy</w:t>
      </w:r>
      <w:r>
        <w:rPr>
          <w:b/>
          <w:color w:val="231F20"/>
          <w:spacing w:val="23"/>
          <w:sz w:val="21"/>
        </w:rPr>
        <w:t> </w:t>
      </w:r>
      <w:r>
        <w:rPr>
          <w:b/>
          <w:color w:val="231F20"/>
          <w:sz w:val="21"/>
        </w:rPr>
        <w:t>Conservation</w:t>
      </w:r>
      <w:r>
        <w:rPr>
          <w:b/>
          <w:color w:val="231F20"/>
          <w:spacing w:val="28"/>
          <w:sz w:val="21"/>
        </w:rPr>
        <w:t> </w:t>
      </w:r>
      <w:r>
        <w:rPr>
          <w:b/>
          <w:color w:val="231F20"/>
          <w:spacing w:val="-4"/>
          <w:sz w:val="21"/>
        </w:rPr>
        <w:t>Code</w:t>
      </w:r>
    </w:p>
    <w:p>
      <w:pPr>
        <w:pStyle w:val="BodyText"/>
        <w:spacing w:before="10"/>
        <w:rPr>
          <w:b/>
          <w:sz w:val="21"/>
        </w:rPr>
      </w:pPr>
    </w:p>
    <w:p>
      <w:pPr>
        <w:pStyle w:val="Heading1"/>
        <w:spacing w:before="1"/>
      </w:pPr>
      <w:r>
        <w:rPr>
          <w:color w:val="231F20"/>
        </w:rPr>
        <w:t>Add</w:t>
      </w:r>
      <w:r>
        <w:rPr>
          <w:color w:val="231F20"/>
          <w:spacing w:val="-8"/>
        </w:rPr>
        <w:t> </w:t>
      </w:r>
      <w:r>
        <w:rPr>
          <w:color w:val="231F20"/>
        </w:rPr>
        <w:t>new</w:t>
      </w:r>
      <w:r>
        <w:rPr>
          <w:color w:val="231F20"/>
          <w:spacing w:val="-8"/>
        </w:rPr>
        <w:t> </w:t>
      </w:r>
      <w:r>
        <w:rPr>
          <w:color w:val="231F20"/>
        </w:rPr>
        <w:t>text</w:t>
      </w:r>
      <w:r>
        <w:rPr>
          <w:color w:val="231F20"/>
          <w:spacing w:val="-2"/>
        </w:rPr>
        <w:t> </w:t>
      </w:r>
      <w:r>
        <w:rPr>
          <w:color w:val="231F20"/>
        </w:rPr>
        <w:t>as</w:t>
      </w:r>
      <w:r>
        <w:rPr>
          <w:color w:val="231F20"/>
          <w:spacing w:val="2"/>
        </w:rPr>
        <w:t> </w:t>
      </w:r>
      <w:r>
        <w:rPr>
          <w:color w:val="231F20"/>
          <w:spacing w:val="-2"/>
        </w:rPr>
        <w:t>follows:</w:t>
      </w:r>
    </w:p>
    <w:p>
      <w:pPr>
        <w:pStyle w:val="BodyText"/>
        <w:spacing w:before="33"/>
        <w:ind w:left="120"/>
      </w:pPr>
      <w:r>
        <w:rPr>
          <w:color w:val="231F20"/>
          <w:u w:val="single" w:color="231F20"/>
        </w:rPr>
        <w:t>C503.3.2</w:t>
      </w:r>
      <w:r>
        <w:rPr>
          <w:color w:val="231F20"/>
          <w:spacing w:val="3"/>
          <w:u w:val="single" w:color="231F20"/>
        </w:rPr>
        <w:t> </w:t>
      </w:r>
      <w:r>
        <w:rPr>
          <w:color w:val="231F20"/>
          <w:u w:val="single" w:color="231F20"/>
        </w:rPr>
        <w:t>System</w:t>
      </w:r>
      <w:r>
        <w:rPr>
          <w:color w:val="231F20"/>
          <w:spacing w:val="-2"/>
          <w:u w:val="single" w:color="231F20"/>
        </w:rPr>
        <w:t> sizing</w:t>
      </w:r>
      <w:r>
        <w:rPr>
          <w:color w:val="231F20"/>
          <w:spacing w:val="-2"/>
        </w:rPr>
        <w:t>.</w:t>
      </w:r>
    </w:p>
    <w:p>
      <w:pPr>
        <w:pStyle w:val="BodyText"/>
        <w:spacing w:before="5"/>
      </w:pPr>
    </w:p>
    <w:p>
      <w:pPr>
        <w:pStyle w:val="BodyText"/>
        <w:spacing w:line="278" w:lineRule="auto" w:before="1"/>
        <w:ind w:left="120" w:right="257"/>
        <w:rPr>
          <w:i/>
        </w:rPr>
      </w:pPr>
      <w:r>
        <w:rPr>
          <w:color w:val="231F20"/>
          <w:u w:val="single" w:color="231F20"/>
        </w:rPr>
        <w:t>New heating and cooling equipment</w:t>
      </w:r>
      <w:r>
        <w:rPr>
          <w:color w:val="231F20"/>
          <w:spacing w:val="-1"/>
          <w:u w:val="single" w:color="231F20"/>
        </w:rPr>
        <w:t> </w:t>
      </w:r>
      <w:r>
        <w:rPr>
          <w:color w:val="231F20"/>
          <w:u w:val="single" w:color="231F20"/>
        </w:rPr>
        <w:t>that</w:t>
      </w:r>
      <w:r>
        <w:rPr>
          <w:color w:val="231F20"/>
          <w:spacing w:val="-1"/>
          <w:u w:val="single" w:color="231F20"/>
        </w:rPr>
        <w:t> </w:t>
      </w:r>
      <w:r>
        <w:rPr>
          <w:color w:val="231F20"/>
          <w:u w:val="single" w:color="231F20"/>
        </w:rPr>
        <w:t>is part</w:t>
      </w:r>
      <w:r>
        <w:rPr>
          <w:color w:val="231F20"/>
          <w:spacing w:val="-1"/>
          <w:u w:val="single" w:color="231F20"/>
        </w:rPr>
        <w:t> </w:t>
      </w:r>
      <w:r>
        <w:rPr>
          <w:color w:val="231F20"/>
          <w:u w:val="single" w:color="231F20"/>
        </w:rPr>
        <w:t>of</w:t>
      </w:r>
      <w:r>
        <w:rPr>
          <w:color w:val="231F20"/>
          <w:spacing w:val="-1"/>
          <w:u w:val="single" w:color="231F20"/>
        </w:rPr>
        <w:t> </w:t>
      </w:r>
      <w:r>
        <w:rPr>
          <w:color w:val="231F20"/>
          <w:u w:val="single" w:color="231F20"/>
        </w:rPr>
        <w:t>an </w:t>
      </w:r>
      <w:r>
        <w:rPr>
          <w:i/>
          <w:color w:val="231F20"/>
          <w:u w:val="single" w:color="231F20"/>
        </w:rPr>
        <w:t>alteration </w:t>
      </w:r>
      <w:r>
        <w:rPr>
          <w:color w:val="231F20"/>
          <w:u w:val="single" w:color="231F20"/>
        </w:rPr>
        <w:t>shall be sized in accordance with Section C403.1.1 based on the</w:t>
      </w:r>
      <w:r>
        <w:rPr>
          <w:color w:val="231F20"/>
        </w:rPr>
        <w:t> </w:t>
      </w:r>
      <w:r>
        <w:rPr>
          <w:color w:val="231F20"/>
          <w:u w:val="single" w:color="231F20"/>
        </w:rPr>
        <w:t>existing </w:t>
      </w:r>
      <w:r>
        <w:rPr>
          <w:i/>
          <w:color w:val="231F20"/>
          <w:u w:val="single" w:color="231F20"/>
        </w:rPr>
        <w:t>building </w:t>
      </w:r>
      <w:r>
        <w:rPr>
          <w:color w:val="231F20"/>
          <w:u w:val="single" w:color="231F20"/>
        </w:rPr>
        <w:t>features as modified by the </w:t>
      </w:r>
      <w:r>
        <w:rPr>
          <w:i/>
          <w:color w:val="231F20"/>
          <w:u w:val="single" w:color="231F20"/>
        </w:rPr>
        <w:t>alteration.</w:t>
      </w:r>
    </w:p>
    <w:p>
      <w:pPr>
        <w:pStyle w:val="BodyText"/>
        <w:spacing w:before="5"/>
        <w:rPr>
          <w:i/>
          <w:sz w:val="9"/>
        </w:rPr>
      </w:pPr>
    </w:p>
    <w:p>
      <w:pPr>
        <w:pStyle w:val="BodyText"/>
        <w:spacing w:line="278" w:lineRule="auto" w:before="71"/>
        <w:ind w:left="120"/>
      </w:pPr>
      <w:r>
        <w:rPr>
          <w:b/>
          <w:color w:val="231F20"/>
          <w:u w:val="single" w:color="231F20"/>
        </w:rPr>
        <w:t>Exception:</w:t>
      </w:r>
      <w:r>
        <w:rPr>
          <w:b/>
          <w:color w:val="231F20"/>
          <w:spacing w:val="40"/>
          <w:u w:val="single" w:color="231F20"/>
        </w:rPr>
        <w:t> </w:t>
      </w:r>
      <w:r>
        <w:rPr>
          <w:color w:val="231F20"/>
          <w:u w:val="single" w:color="231F20"/>
        </w:rPr>
        <w:t>Where is has been demonstrated to the </w:t>
      </w:r>
      <w:r>
        <w:rPr>
          <w:i/>
          <w:color w:val="231F20"/>
          <w:u w:val="single" w:color="231F20"/>
        </w:rPr>
        <w:t>code official </w:t>
      </w:r>
      <w:r>
        <w:rPr>
          <w:color w:val="231F20"/>
          <w:u w:val="single" w:color="231F20"/>
        </w:rPr>
        <w:t>that</w:t>
      </w:r>
      <w:r>
        <w:rPr>
          <w:color w:val="231F20"/>
          <w:spacing w:val="-3"/>
          <w:u w:val="single" w:color="231F20"/>
        </w:rPr>
        <w:t> </w:t>
      </w:r>
      <w:r>
        <w:rPr>
          <w:color w:val="231F20"/>
          <w:u w:val="single" w:color="231F20"/>
        </w:rPr>
        <w:t>compliance with this section would result</w:t>
      </w:r>
      <w:r>
        <w:rPr>
          <w:color w:val="231F20"/>
          <w:spacing w:val="-3"/>
          <w:u w:val="single" w:color="231F20"/>
        </w:rPr>
        <w:t> </w:t>
      </w:r>
      <w:r>
        <w:rPr>
          <w:color w:val="231F20"/>
          <w:u w:val="single" w:color="231F20"/>
        </w:rPr>
        <w:t>in heating or cooling</w:t>
      </w:r>
      <w:r>
        <w:rPr>
          <w:color w:val="231F20"/>
        </w:rPr>
        <w:t> </w:t>
      </w:r>
      <w:r>
        <w:rPr>
          <w:color w:val="231F20"/>
          <w:u w:val="single" w:color="231F20"/>
        </w:rPr>
        <w:t>equipment that is incompatible with the rest of the heating or cooling system.</w:t>
      </w:r>
    </w:p>
    <w:p>
      <w:pPr>
        <w:pStyle w:val="BodyText"/>
        <w:spacing w:before="8"/>
        <w:rPr>
          <w:sz w:val="9"/>
        </w:rPr>
      </w:pPr>
    </w:p>
    <w:p>
      <w:pPr>
        <w:pStyle w:val="Heading1"/>
        <w:spacing w:before="68"/>
      </w:pPr>
      <w:r>
        <w:rPr>
          <w:color w:val="231F20"/>
        </w:rPr>
        <w:t>Reason</w:t>
      </w:r>
      <w:r>
        <w:rPr>
          <w:color w:val="231F20"/>
          <w:spacing w:val="1"/>
        </w:rPr>
        <w:t> </w:t>
      </w:r>
      <w:r>
        <w:rPr>
          <w:color w:val="231F20"/>
          <w:spacing w:val="-2"/>
        </w:rPr>
        <w:t>Statement:</w:t>
      </w:r>
    </w:p>
    <w:p>
      <w:pPr>
        <w:pStyle w:val="BodyText"/>
        <w:spacing w:before="6"/>
        <w:rPr>
          <w:b/>
        </w:rPr>
      </w:pPr>
    </w:p>
    <w:p>
      <w:pPr>
        <w:pStyle w:val="BodyText"/>
        <w:spacing w:line="278" w:lineRule="auto"/>
        <w:ind w:left="120" w:right="257"/>
      </w:pPr>
      <w:r>
        <w:rPr>
          <w:color w:val="231F20"/>
        </w:rPr>
        <w:t>Historically, HVAC equipment has been routinely oversized.</w:t>
      </w:r>
      <w:r>
        <w:rPr>
          <w:color w:val="231F20"/>
          <w:spacing w:val="40"/>
        </w:rPr>
        <w:t> </w:t>
      </w:r>
      <w:r>
        <w:rPr>
          <w:color w:val="231F20"/>
        </w:rPr>
        <w:t>Studies have found very high rates of equipment oversizing; for example, 60% of RTU units in CA were found to be oversized.[1]</w:t>
      </w:r>
      <w:r>
        <w:rPr>
          <w:color w:val="231F20"/>
          <w:spacing w:val="40"/>
        </w:rPr>
        <w:t> </w:t>
      </w:r>
      <w:r>
        <w:rPr>
          <w:color w:val="231F20"/>
        </w:rPr>
        <w:t>Oversized equipment results in increased energy use, decreased occupant comfort and increased wear-and-tear on equipment.[2]</w:t>
      </w:r>
      <w:r>
        <w:rPr>
          <w:color w:val="231F20"/>
          <w:spacing w:val="40"/>
        </w:rPr>
        <w:t> </w:t>
      </w:r>
      <w:r>
        <w:rPr>
          <w:color w:val="231F20"/>
        </w:rPr>
        <w:t>Oversized equipment is also less effective at dehumidification.</w:t>
      </w:r>
      <w:r>
        <w:rPr>
          <w:color w:val="231F20"/>
          <w:spacing w:val="40"/>
        </w:rPr>
        <w:t> </w:t>
      </w:r>
      <w:r>
        <w:rPr>
          <w:color w:val="231F20"/>
        </w:rPr>
        <w:t>Like-for-like equipment replacement are particularly vulnerable to oversizing.</w:t>
      </w:r>
      <w:r>
        <w:rPr>
          <w:color w:val="231F20"/>
          <w:spacing w:val="40"/>
        </w:rPr>
        <w:t> </w:t>
      </w:r>
      <w:r>
        <w:rPr>
          <w:color w:val="231F20"/>
        </w:rPr>
        <w:t>The original equipment may have been installed when code requirements for "right-sizing" equipment did not exist or was not enforced.</w:t>
      </w:r>
      <w:r>
        <w:rPr>
          <w:color w:val="231F20"/>
          <w:spacing w:val="40"/>
        </w:rPr>
        <w:t> </w:t>
      </w:r>
      <w:r>
        <w:rPr>
          <w:color w:val="231F20"/>
        </w:rPr>
        <w:t>The materials markups that are common practice among contractors</w:t>
      </w:r>
      <w:r>
        <w:rPr>
          <w:color w:val="231F20"/>
          <w:spacing w:val="13"/>
        </w:rPr>
        <w:t> </w:t>
      </w:r>
      <w:r>
        <w:rPr>
          <w:color w:val="231F20"/>
        </w:rPr>
        <w:t>disincentivize</w:t>
      </w:r>
      <w:r>
        <w:rPr>
          <w:color w:val="231F20"/>
          <w:spacing w:val="19"/>
        </w:rPr>
        <w:t> </w:t>
      </w:r>
      <w:r>
        <w:rPr>
          <w:color w:val="231F20"/>
        </w:rPr>
        <w:t>them</w:t>
      </w:r>
      <w:r>
        <w:rPr>
          <w:color w:val="231F20"/>
          <w:spacing w:val="13"/>
        </w:rPr>
        <w:t> </w:t>
      </w:r>
      <w:r>
        <w:rPr>
          <w:color w:val="231F20"/>
        </w:rPr>
        <w:t>to</w:t>
      </w:r>
      <w:r>
        <w:rPr>
          <w:color w:val="231F20"/>
          <w:spacing w:val="19"/>
        </w:rPr>
        <w:t> </w:t>
      </w:r>
      <w:r>
        <w:rPr>
          <w:color w:val="231F20"/>
        </w:rPr>
        <w:t>install</w:t>
      </w:r>
      <w:r>
        <w:rPr>
          <w:color w:val="231F20"/>
          <w:spacing w:val="19"/>
        </w:rPr>
        <w:t> </w:t>
      </w:r>
      <w:r>
        <w:rPr>
          <w:color w:val="231F20"/>
        </w:rPr>
        <w:t>smaller, right-sized</w:t>
      </w:r>
      <w:r>
        <w:rPr>
          <w:color w:val="231F20"/>
          <w:spacing w:val="20"/>
        </w:rPr>
        <w:t> </w:t>
      </w:r>
      <w:r>
        <w:rPr>
          <w:color w:val="231F20"/>
        </w:rPr>
        <w:t>equipment.</w:t>
      </w:r>
      <w:r>
        <w:rPr>
          <w:color w:val="231F20"/>
          <w:spacing w:val="70"/>
        </w:rPr>
        <w:t> </w:t>
      </w:r>
      <w:r>
        <w:rPr>
          <w:color w:val="231F20"/>
        </w:rPr>
        <w:t>Changes</w:t>
      </w:r>
      <w:r>
        <w:rPr>
          <w:color w:val="231F20"/>
          <w:spacing w:val="13"/>
        </w:rPr>
        <w:t> </w:t>
      </w:r>
      <w:r>
        <w:rPr>
          <w:color w:val="231F20"/>
        </w:rPr>
        <w:t>to</w:t>
      </w:r>
      <w:r>
        <w:rPr>
          <w:color w:val="231F20"/>
          <w:spacing w:val="19"/>
        </w:rPr>
        <w:t> </w:t>
      </w:r>
      <w:r>
        <w:rPr>
          <w:color w:val="231F20"/>
        </w:rPr>
        <w:t>building</w:t>
      </w:r>
      <w:r>
        <w:rPr>
          <w:color w:val="231F20"/>
          <w:spacing w:val="19"/>
        </w:rPr>
        <w:t> </w:t>
      </w:r>
      <w:r>
        <w:rPr>
          <w:color w:val="231F20"/>
        </w:rPr>
        <w:t>use</w:t>
      </w:r>
      <w:r>
        <w:rPr>
          <w:color w:val="231F20"/>
          <w:spacing w:val="19"/>
        </w:rPr>
        <w:t> </w:t>
      </w:r>
      <w:r>
        <w:rPr>
          <w:color w:val="231F20"/>
        </w:rPr>
        <w:t>could</w:t>
      </w:r>
      <w:r>
        <w:rPr>
          <w:color w:val="231F20"/>
          <w:spacing w:val="19"/>
        </w:rPr>
        <w:t> </w:t>
      </w:r>
      <w:r>
        <w:rPr>
          <w:color w:val="231F20"/>
        </w:rPr>
        <w:t>have</w:t>
      </w:r>
      <w:r>
        <w:rPr>
          <w:color w:val="231F20"/>
          <w:spacing w:val="19"/>
        </w:rPr>
        <w:t> </w:t>
      </w:r>
      <w:r>
        <w:rPr>
          <w:color w:val="231F20"/>
        </w:rPr>
        <w:t>occurred</w:t>
      </w:r>
      <w:r>
        <w:rPr>
          <w:color w:val="231F20"/>
          <w:spacing w:val="19"/>
        </w:rPr>
        <w:t> </w:t>
      </w:r>
      <w:r>
        <w:rPr>
          <w:color w:val="231F20"/>
        </w:rPr>
        <w:t>since</w:t>
      </w:r>
      <w:r>
        <w:rPr>
          <w:color w:val="231F20"/>
          <w:spacing w:val="19"/>
        </w:rPr>
        <w:t> </w:t>
      </w:r>
      <w:r>
        <w:rPr>
          <w:color w:val="231F20"/>
        </w:rPr>
        <w:t>the original</w:t>
      </w:r>
      <w:r>
        <w:rPr>
          <w:color w:val="231F20"/>
          <w:spacing w:val="22"/>
        </w:rPr>
        <w:t> </w:t>
      </w:r>
      <w:r>
        <w:rPr>
          <w:color w:val="231F20"/>
        </w:rPr>
        <w:t>equipment was</w:t>
      </w:r>
      <w:r>
        <w:rPr>
          <w:color w:val="231F20"/>
          <w:spacing w:val="16"/>
        </w:rPr>
        <w:t> </w:t>
      </w:r>
      <w:r>
        <w:rPr>
          <w:color w:val="231F20"/>
        </w:rPr>
        <w:t>installed, creating</w:t>
      </w:r>
      <w:r>
        <w:rPr>
          <w:color w:val="231F20"/>
          <w:spacing w:val="22"/>
        </w:rPr>
        <w:t> </w:t>
      </w:r>
      <w:r>
        <w:rPr>
          <w:color w:val="231F20"/>
        </w:rPr>
        <w:t>a</w:t>
      </w:r>
      <w:r>
        <w:rPr>
          <w:color w:val="231F20"/>
          <w:spacing w:val="22"/>
        </w:rPr>
        <w:t> </w:t>
      </w:r>
      <w:r>
        <w:rPr>
          <w:color w:val="231F20"/>
        </w:rPr>
        <w:t>mismatch</w:t>
      </w:r>
      <w:r>
        <w:rPr>
          <w:color w:val="231F20"/>
          <w:spacing w:val="22"/>
        </w:rPr>
        <w:t> </w:t>
      </w:r>
      <w:r>
        <w:rPr>
          <w:color w:val="231F20"/>
        </w:rPr>
        <w:t>between</w:t>
      </w:r>
      <w:r>
        <w:rPr>
          <w:color w:val="231F20"/>
          <w:spacing w:val="22"/>
        </w:rPr>
        <w:t> </w:t>
      </w:r>
      <w:r>
        <w:rPr>
          <w:color w:val="231F20"/>
        </w:rPr>
        <w:t>current design</w:t>
      </w:r>
      <w:r>
        <w:rPr>
          <w:color w:val="231F20"/>
          <w:spacing w:val="22"/>
        </w:rPr>
        <w:t> </w:t>
      </w:r>
      <w:r>
        <w:rPr>
          <w:color w:val="231F20"/>
        </w:rPr>
        <w:t>loads</w:t>
      </w:r>
      <w:r>
        <w:rPr>
          <w:color w:val="231F20"/>
          <w:spacing w:val="16"/>
        </w:rPr>
        <w:t> </w:t>
      </w:r>
      <w:r>
        <w:rPr>
          <w:color w:val="231F20"/>
        </w:rPr>
        <w:t>and</w:t>
      </w:r>
      <w:r>
        <w:rPr>
          <w:color w:val="231F20"/>
          <w:spacing w:val="22"/>
        </w:rPr>
        <w:t> </w:t>
      </w:r>
      <w:r>
        <w:rPr>
          <w:color w:val="231F20"/>
        </w:rPr>
        <w:t>the</w:t>
      </w:r>
      <w:r>
        <w:rPr>
          <w:color w:val="231F20"/>
          <w:spacing w:val="22"/>
        </w:rPr>
        <w:t> </w:t>
      </w:r>
      <w:r>
        <w:rPr>
          <w:color w:val="231F20"/>
        </w:rPr>
        <w:t>original</w:t>
      </w:r>
      <w:r>
        <w:rPr>
          <w:color w:val="231F20"/>
          <w:spacing w:val="22"/>
        </w:rPr>
        <w:t> </w:t>
      </w:r>
      <w:r>
        <w:rPr>
          <w:color w:val="231F20"/>
        </w:rPr>
        <w:t>equipment.</w:t>
      </w:r>
      <w:r>
        <w:rPr>
          <w:color w:val="231F20"/>
          <w:spacing w:val="75"/>
        </w:rPr>
        <w:t> </w:t>
      </w:r>
      <w:r>
        <w:rPr>
          <w:color w:val="231F20"/>
        </w:rPr>
        <w:t>The</w:t>
      </w:r>
      <w:r>
        <w:rPr>
          <w:color w:val="231F20"/>
          <w:spacing w:val="22"/>
        </w:rPr>
        <w:t> </w:t>
      </w:r>
      <w:r>
        <w:rPr>
          <w:color w:val="231F20"/>
        </w:rPr>
        <w:t>building</w:t>
      </w:r>
      <w:r>
        <w:rPr>
          <w:color w:val="231F20"/>
          <w:spacing w:val="22"/>
        </w:rPr>
        <w:t> </w:t>
      </w:r>
      <w:r>
        <w:rPr>
          <w:color w:val="231F20"/>
        </w:rPr>
        <w:t>may have</w:t>
      </w:r>
      <w:r>
        <w:rPr>
          <w:color w:val="231F20"/>
          <w:spacing w:val="22"/>
        </w:rPr>
        <w:t> </w:t>
      </w:r>
      <w:r>
        <w:rPr>
          <w:color w:val="231F20"/>
        </w:rPr>
        <w:t>modified, particularly</w:t>
      </w:r>
      <w:r>
        <w:rPr>
          <w:color w:val="231F20"/>
          <w:spacing w:val="16"/>
        </w:rPr>
        <w:t> </w:t>
      </w:r>
      <w:r>
        <w:rPr>
          <w:color w:val="231F20"/>
        </w:rPr>
        <w:t>by</w:t>
      </w:r>
      <w:r>
        <w:rPr>
          <w:color w:val="231F20"/>
          <w:spacing w:val="16"/>
        </w:rPr>
        <w:t> </w:t>
      </w:r>
      <w:r>
        <w:rPr>
          <w:color w:val="231F20"/>
        </w:rPr>
        <w:t>energy</w:t>
      </w:r>
      <w:r>
        <w:rPr>
          <w:color w:val="231F20"/>
          <w:spacing w:val="16"/>
        </w:rPr>
        <w:t> </w:t>
      </w:r>
      <w:r>
        <w:rPr>
          <w:color w:val="231F20"/>
        </w:rPr>
        <w:t>efficiency</w:t>
      </w:r>
      <w:r>
        <w:rPr>
          <w:color w:val="231F20"/>
          <w:spacing w:val="16"/>
        </w:rPr>
        <w:t> </w:t>
      </w:r>
      <w:r>
        <w:rPr>
          <w:color w:val="231F20"/>
        </w:rPr>
        <w:t>programs, altering</w:t>
      </w:r>
      <w:r>
        <w:rPr>
          <w:color w:val="231F20"/>
          <w:spacing w:val="22"/>
        </w:rPr>
        <w:t> </w:t>
      </w:r>
      <w:r>
        <w:rPr>
          <w:color w:val="231F20"/>
        </w:rPr>
        <w:t>the</w:t>
      </w:r>
      <w:r>
        <w:rPr>
          <w:color w:val="231F20"/>
          <w:spacing w:val="22"/>
        </w:rPr>
        <w:t> </w:t>
      </w:r>
      <w:r>
        <w:rPr>
          <w:color w:val="231F20"/>
        </w:rPr>
        <w:t>design</w:t>
      </w:r>
      <w:r>
        <w:rPr>
          <w:color w:val="231F20"/>
          <w:spacing w:val="22"/>
        </w:rPr>
        <w:t> </w:t>
      </w:r>
      <w:r>
        <w:rPr>
          <w:color w:val="231F20"/>
        </w:rPr>
        <w:t>loads</w:t>
      </w:r>
      <w:r>
        <w:rPr>
          <w:color w:val="231F20"/>
          <w:spacing w:val="16"/>
        </w:rPr>
        <w:t> </w:t>
      </w:r>
      <w:r>
        <w:rPr>
          <w:color w:val="231F20"/>
        </w:rPr>
        <w:t>of the</w:t>
      </w:r>
      <w:r>
        <w:rPr>
          <w:color w:val="231F20"/>
          <w:spacing w:val="22"/>
        </w:rPr>
        <w:t> </w:t>
      </w:r>
      <w:r>
        <w:rPr>
          <w:color w:val="231F20"/>
        </w:rPr>
        <w:t>building.</w:t>
      </w:r>
      <w:r>
        <w:rPr>
          <w:color w:val="231F20"/>
          <w:spacing w:val="76"/>
        </w:rPr>
        <w:t> </w:t>
      </w:r>
      <w:r>
        <w:rPr>
          <w:color w:val="231F20"/>
        </w:rPr>
        <w:t>Lighting</w:t>
      </w:r>
      <w:r>
        <w:rPr>
          <w:color w:val="231F20"/>
          <w:spacing w:val="22"/>
        </w:rPr>
        <w:t> </w:t>
      </w:r>
      <w:r>
        <w:rPr>
          <w:color w:val="231F20"/>
        </w:rPr>
        <w:t>especially</w:t>
      </w:r>
      <w:r>
        <w:rPr>
          <w:color w:val="231F20"/>
          <w:spacing w:val="16"/>
        </w:rPr>
        <w:t> </w:t>
      </w:r>
      <w:r>
        <w:rPr>
          <w:color w:val="231F20"/>
        </w:rPr>
        <w:t>stands</w:t>
      </w:r>
      <w:r>
        <w:rPr>
          <w:color w:val="231F20"/>
          <w:spacing w:val="16"/>
        </w:rPr>
        <w:t> </w:t>
      </w:r>
      <w:r>
        <w:rPr>
          <w:color w:val="231F20"/>
        </w:rPr>
        <w:t>out here.</w:t>
      </w:r>
      <w:r>
        <w:rPr>
          <w:color w:val="231F20"/>
          <w:spacing w:val="40"/>
        </w:rPr>
        <w:t> </w:t>
      </w:r>
      <w:r>
        <w:rPr>
          <w:color w:val="231F20"/>
        </w:rPr>
        <w:t>Fluorescent and LED lighting is ubiquitous, but many HVAC systems were designed to account for incandescent lamps that convert over 75% of the energy they consume into heat.</w:t>
      </w:r>
    </w:p>
    <w:p>
      <w:pPr>
        <w:pStyle w:val="BodyText"/>
        <w:spacing w:before="9"/>
        <w:rPr>
          <w:sz w:val="20"/>
        </w:rPr>
      </w:pPr>
    </w:p>
    <w:p>
      <w:pPr>
        <w:pStyle w:val="BodyText"/>
        <w:spacing w:line="278" w:lineRule="auto"/>
        <w:ind w:left="120" w:right="257"/>
      </w:pPr>
      <w:r>
        <w:rPr>
          <w:color w:val="231F20"/>
        </w:rPr>
        <w:t>With all of these considerations, it is reasonable to assume that the existing equipment sizing is more likely to be wrong than right, yet many equipment replacements use existing system sizing to size new equipment.</w:t>
      </w:r>
      <w:r>
        <w:rPr>
          <w:color w:val="231F20"/>
          <w:spacing w:val="40"/>
        </w:rPr>
        <w:t> </w:t>
      </w:r>
      <w:r>
        <w:rPr>
          <w:color w:val="231F20"/>
        </w:rPr>
        <w:t>This proposal explicitly requires that new equipment installed as part of an alteration be sized based on current building characteristics and loads, using current sizing standards.</w:t>
      </w:r>
      <w:r>
        <w:rPr>
          <w:color w:val="231F20"/>
          <w:spacing w:val="40"/>
        </w:rPr>
        <w:t> </w:t>
      </w:r>
      <w:r>
        <w:rPr>
          <w:color w:val="231F20"/>
        </w:rPr>
        <w:t>The resulting installations will be more efficient and more effective and many will be less costly to install as owners stop paying for more equipment than they need.</w:t>
      </w:r>
    </w:p>
    <w:p>
      <w:pPr>
        <w:pStyle w:val="BodyText"/>
        <w:spacing w:before="10"/>
        <w:rPr>
          <w:sz w:val="20"/>
        </w:rPr>
      </w:pPr>
    </w:p>
    <w:p>
      <w:pPr>
        <w:pStyle w:val="BodyText"/>
        <w:spacing w:line="278" w:lineRule="auto"/>
        <w:ind w:left="120" w:right="257" w:hanging="1"/>
      </w:pPr>
      <w:r>
        <w:rPr>
          <w:color w:val="231F20"/>
        </w:rPr>
        <w:t>Savings will vary based on the amount</w:t>
      </w:r>
      <w:r>
        <w:rPr>
          <w:color w:val="231F20"/>
          <w:spacing w:val="-1"/>
        </w:rPr>
        <w:t> </w:t>
      </w:r>
      <w:r>
        <w:rPr>
          <w:color w:val="231F20"/>
        </w:rPr>
        <w:t>that</w:t>
      </w:r>
      <w:r>
        <w:rPr>
          <w:color w:val="231F20"/>
          <w:spacing w:val="-1"/>
        </w:rPr>
        <w:t> </w:t>
      </w:r>
      <w:r>
        <w:rPr>
          <w:color w:val="231F20"/>
        </w:rPr>
        <w:t>existing equipment</w:t>
      </w:r>
      <w:r>
        <w:rPr>
          <w:color w:val="231F20"/>
          <w:spacing w:val="-1"/>
        </w:rPr>
        <w:t> </w:t>
      </w:r>
      <w:r>
        <w:rPr>
          <w:color w:val="231F20"/>
        </w:rPr>
        <w:t>is oversized.</w:t>
      </w:r>
      <w:r>
        <w:rPr>
          <w:color w:val="231F20"/>
          <w:spacing w:val="40"/>
        </w:rPr>
        <w:t> </w:t>
      </w:r>
      <w:r>
        <w:rPr>
          <w:color w:val="231F20"/>
        </w:rPr>
        <w:t>"Right-sizing" has been found to result</w:t>
      </w:r>
      <w:r>
        <w:rPr>
          <w:color w:val="231F20"/>
          <w:spacing w:val="-1"/>
        </w:rPr>
        <w:t> </w:t>
      </w:r>
      <w:r>
        <w:rPr>
          <w:color w:val="231F20"/>
        </w:rPr>
        <w:t>in about</w:t>
      </w:r>
      <w:r>
        <w:rPr>
          <w:color w:val="231F20"/>
          <w:spacing w:val="-1"/>
        </w:rPr>
        <w:t> </w:t>
      </w:r>
      <w:r>
        <w:rPr>
          <w:color w:val="231F20"/>
        </w:rPr>
        <w:t>0.2% energy savings for every 1% reduction in oversizing.[3]</w:t>
      </w:r>
    </w:p>
    <w:p>
      <w:pPr>
        <w:pStyle w:val="BodyText"/>
      </w:pPr>
    </w:p>
    <w:p>
      <w:pPr>
        <w:pStyle w:val="BodyText"/>
      </w:pPr>
    </w:p>
    <w:p>
      <w:pPr>
        <w:pStyle w:val="BodyText"/>
        <w:spacing w:before="1"/>
        <w:rPr>
          <w:sz w:val="16"/>
        </w:rPr>
      </w:pPr>
    </w:p>
    <w:p>
      <w:pPr>
        <w:pStyle w:val="ListParagraph"/>
        <w:numPr>
          <w:ilvl w:val="0"/>
          <w:numId w:val="1"/>
        </w:numPr>
        <w:tabs>
          <w:tab w:pos="361" w:val="left" w:leader="none"/>
        </w:tabs>
        <w:spacing w:line="240" w:lineRule="auto" w:before="1" w:after="0"/>
        <w:ind w:left="360" w:right="0" w:hanging="241"/>
        <w:jc w:val="left"/>
        <w:rPr>
          <w:sz w:val="18"/>
        </w:rPr>
      </w:pPr>
      <w:r>
        <w:rPr>
          <w:color w:val="231F20"/>
          <w:sz w:val="18"/>
        </w:rPr>
        <w:t>D.R.</w:t>
      </w:r>
      <w:r>
        <w:rPr>
          <w:color w:val="231F20"/>
          <w:spacing w:val="-2"/>
          <w:sz w:val="18"/>
        </w:rPr>
        <w:t> </w:t>
      </w:r>
      <w:r>
        <w:rPr>
          <w:color w:val="231F20"/>
          <w:sz w:val="18"/>
        </w:rPr>
        <w:t>Felts,</w:t>
      </w:r>
      <w:r>
        <w:rPr>
          <w:color w:val="231F20"/>
          <w:spacing w:val="-1"/>
          <w:sz w:val="18"/>
        </w:rPr>
        <w:t> </w:t>
      </w:r>
      <w:r>
        <w:rPr>
          <w:color w:val="231F20"/>
          <w:sz w:val="18"/>
        </w:rPr>
        <w:t>P.</w:t>
      </w:r>
      <w:r>
        <w:rPr>
          <w:color w:val="231F20"/>
          <w:spacing w:val="-1"/>
          <w:sz w:val="18"/>
        </w:rPr>
        <w:t> </w:t>
      </w:r>
      <w:r>
        <w:rPr>
          <w:color w:val="231F20"/>
          <w:sz w:val="18"/>
        </w:rPr>
        <w:t>Bailey,</w:t>
      </w:r>
      <w:r>
        <w:rPr>
          <w:color w:val="231F20"/>
          <w:spacing w:val="-1"/>
          <w:sz w:val="18"/>
        </w:rPr>
        <w:t> </w:t>
      </w:r>
      <w:r>
        <w:rPr>
          <w:color w:val="231F20"/>
          <w:sz w:val="18"/>
        </w:rPr>
        <w:t>The</w:t>
      </w:r>
      <w:r>
        <w:rPr>
          <w:color w:val="231F20"/>
          <w:spacing w:val="10"/>
          <w:sz w:val="18"/>
        </w:rPr>
        <w:t> </w:t>
      </w:r>
      <w:r>
        <w:rPr>
          <w:color w:val="231F20"/>
          <w:sz w:val="18"/>
        </w:rPr>
        <w:t>State</w:t>
      </w:r>
      <w:r>
        <w:rPr>
          <w:color w:val="231F20"/>
          <w:spacing w:val="10"/>
          <w:sz w:val="18"/>
        </w:rPr>
        <w:t> </w:t>
      </w:r>
      <w:r>
        <w:rPr>
          <w:color w:val="231F20"/>
          <w:sz w:val="18"/>
        </w:rPr>
        <w:t>of</w:t>
      </w:r>
      <w:r>
        <w:rPr>
          <w:color w:val="231F20"/>
          <w:spacing w:val="-1"/>
          <w:sz w:val="18"/>
        </w:rPr>
        <w:t> </w:t>
      </w:r>
      <w:r>
        <w:rPr>
          <w:color w:val="231F20"/>
          <w:sz w:val="18"/>
        </w:rPr>
        <w:t>Affairs</w:t>
      </w:r>
      <w:r>
        <w:rPr>
          <w:color w:val="231F20"/>
          <w:spacing w:val="5"/>
          <w:sz w:val="18"/>
        </w:rPr>
        <w:t> </w:t>
      </w:r>
      <w:r>
        <w:rPr>
          <w:color w:val="231F20"/>
          <w:sz w:val="18"/>
        </w:rPr>
        <w:t>-</w:t>
      </w:r>
      <w:r>
        <w:rPr>
          <w:color w:val="231F20"/>
          <w:spacing w:val="10"/>
          <w:sz w:val="18"/>
        </w:rPr>
        <w:t> </w:t>
      </w:r>
      <w:r>
        <w:rPr>
          <w:color w:val="231F20"/>
          <w:sz w:val="18"/>
        </w:rPr>
        <w:t>Packaged</w:t>
      </w:r>
      <w:r>
        <w:rPr>
          <w:color w:val="231F20"/>
          <w:spacing w:val="10"/>
          <w:sz w:val="18"/>
        </w:rPr>
        <w:t> </w:t>
      </w:r>
      <w:r>
        <w:rPr>
          <w:color w:val="231F20"/>
          <w:sz w:val="18"/>
        </w:rPr>
        <w:t>Cooling</w:t>
      </w:r>
      <w:r>
        <w:rPr>
          <w:color w:val="231F20"/>
          <w:spacing w:val="10"/>
          <w:sz w:val="18"/>
        </w:rPr>
        <w:t> </w:t>
      </w:r>
      <w:r>
        <w:rPr>
          <w:color w:val="231F20"/>
          <w:sz w:val="18"/>
        </w:rPr>
        <w:t>Equipment</w:t>
      </w:r>
      <w:r>
        <w:rPr>
          <w:color w:val="231F20"/>
          <w:spacing w:val="-2"/>
          <w:sz w:val="18"/>
        </w:rPr>
        <w:t> </w:t>
      </w:r>
      <w:r>
        <w:rPr>
          <w:color w:val="231F20"/>
          <w:sz w:val="18"/>
        </w:rPr>
        <w:t>in</w:t>
      </w:r>
      <w:r>
        <w:rPr>
          <w:color w:val="231F20"/>
          <w:spacing w:val="10"/>
          <w:sz w:val="18"/>
        </w:rPr>
        <w:t> </w:t>
      </w:r>
      <w:r>
        <w:rPr>
          <w:color w:val="231F20"/>
          <w:sz w:val="18"/>
        </w:rPr>
        <w:t>California,</w:t>
      </w:r>
      <w:r>
        <w:rPr>
          <w:color w:val="231F20"/>
          <w:spacing w:val="-2"/>
          <w:sz w:val="18"/>
        </w:rPr>
        <w:t> 2000.</w:t>
      </w:r>
    </w:p>
    <w:p>
      <w:pPr>
        <w:pStyle w:val="BodyText"/>
        <w:spacing w:before="5"/>
      </w:pPr>
    </w:p>
    <w:p>
      <w:pPr>
        <w:pStyle w:val="ListParagraph"/>
        <w:numPr>
          <w:ilvl w:val="0"/>
          <w:numId w:val="1"/>
        </w:numPr>
        <w:tabs>
          <w:tab w:pos="361" w:val="left" w:leader="none"/>
        </w:tabs>
        <w:spacing w:line="278" w:lineRule="auto" w:before="1" w:after="0"/>
        <w:ind w:left="120" w:right="778" w:firstLine="0"/>
        <w:jc w:val="left"/>
        <w:rPr>
          <w:sz w:val="18"/>
        </w:rPr>
      </w:pPr>
      <w:r>
        <w:rPr>
          <w:color w:val="231F20"/>
          <w:sz w:val="18"/>
        </w:rPr>
        <w:t>Ery Djunaedy, Kevin van den Wymelenberg, Brad Acker, Harshana Thimmana, </w:t>
      </w:r>
      <w:r>
        <w:rPr>
          <w:i/>
          <w:color w:val="231F20"/>
          <w:sz w:val="18"/>
        </w:rPr>
        <w:t>Oversizing of HVAC system: Signatures and</w:t>
      </w:r>
      <w:r>
        <w:rPr>
          <w:i/>
          <w:color w:val="231F20"/>
          <w:sz w:val="18"/>
        </w:rPr>
        <w:t> penalties. </w:t>
      </w:r>
      <w:r>
        <w:rPr>
          <w:color w:val="231F20"/>
          <w:sz w:val="18"/>
        </w:rPr>
        <w:t>"Energy and Buildings," Volume 43, Issues 2-3, 2011,</w:t>
      </w:r>
    </w:p>
    <w:p>
      <w:pPr>
        <w:pStyle w:val="BodyText"/>
        <w:spacing w:before="7"/>
        <w:rPr>
          <w:sz w:val="15"/>
        </w:rPr>
      </w:pPr>
    </w:p>
    <w:p>
      <w:pPr>
        <w:pStyle w:val="ListParagraph"/>
        <w:numPr>
          <w:ilvl w:val="0"/>
          <w:numId w:val="1"/>
        </w:numPr>
        <w:tabs>
          <w:tab w:pos="361" w:val="left" w:leader="none"/>
        </w:tabs>
        <w:spacing w:line="278" w:lineRule="auto" w:before="0" w:after="0"/>
        <w:ind w:left="120" w:right="613" w:firstLine="0"/>
        <w:jc w:val="left"/>
        <w:rPr>
          <w:sz w:val="18"/>
        </w:rPr>
      </w:pPr>
      <w:r>
        <w:rPr>
          <w:color w:val="231F20"/>
          <w:sz w:val="18"/>
        </w:rPr>
        <w:t>H.McLain,D.Goldberg. "Beneits of Replacing Residential Central Air Conditioning Systems." American Council for an Energy- </w:t>
      </w:r>
      <w:r>
        <w:rPr>
          <w:color w:val="231F20"/>
          <w:spacing w:val="-2"/>
          <w:w w:val="84"/>
          <w:sz w:val="18"/>
        </w:rPr>
        <w:t>E</w:t>
      </w:r>
      <w:r>
        <w:rPr>
          <w:color w:val="231F20"/>
          <w:spacing w:val="-6"/>
          <w:w w:val="84"/>
          <w:sz w:val="18"/>
        </w:rPr>
        <w:t>f</w:t>
      </w:r>
      <w:r>
        <w:rPr>
          <w:color w:val="231F20"/>
          <w:spacing w:val="-1"/>
          <w:w w:val="209"/>
          <w:sz w:val="18"/>
        </w:rPr>
        <w:t>i</w:t>
      </w:r>
      <w:r>
        <w:rPr>
          <w:color w:val="231F20"/>
          <w:spacing w:val="-1"/>
          <w:w w:val="84"/>
          <w:sz w:val="18"/>
        </w:rPr>
        <w:t>c</w:t>
      </w:r>
      <w:r>
        <w:rPr>
          <w:color w:val="231F20"/>
          <w:spacing w:val="4"/>
          <w:w w:val="84"/>
          <w:sz w:val="18"/>
        </w:rPr>
        <w:t>i</w:t>
      </w:r>
      <w:r>
        <w:rPr>
          <w:color w:val="231F20"/>
          <w:spacing w:val="3"/>
          <w:w w:val="84"/>
          <w:sz w:val="18"/>
        </w:rPr>
        <w:t>en</w:t>
      </w:r>
      <w:r>
        <w:rPr>
          <w:color w:val="231F20"/>
          <w:spacing w:val="-1"/>
          <w:w w:val="84"/>
          <w:sz w:val="18"/>
        </w:rPr>
        <w:t>t</w:t>
      </w:r>
      <w:r>
        <w:rPr>
          <w:color w:val="231F20"/>
          <w:spacing w:val="-1"/>
          <w:w w:val="99"/>
          <w:sz w:val="18"/>
        </w:rPr>
        <w:t> </w:t>
      </w:r>
      <w:r>
        <w:rPr>
          <w:color w:val="231F20"/>
          <w:sz w:val="18"/>
        </w:rPr>
        <w:t>Economy, WashingtonDC, USA, 1984.</w:t>
      </w:r>
    </w:p>
    <w:p>
      <w:pPr>
        <w:pStyle w:val="BodyText"/>
        <w:spacing w:before="7"/>
        <w:rPr>
          <w:sz w:val="15"/>
        </w:rPr>
      </w:pPr>
    </w:p>
    <w:p>
      <w:pPr>
        <w:pStyle w:val="Heading1"/>
      </w:pPr>
      <w:r>
        <w:rPr>
          <w:color w:val="231F20"/>
          <w:spacing w:val="-2"/>
        </w:rPr>
        <w:t>Bibliography:</w:t>
      </w:r>
    </w:p>
    <w:p>
      <w:pPr>
        <w:pStyle w:val="BodyText"/>
        <w:spacing w:before="6"/>
        <w:rPr>
          <w:b/>
        </w:rPr>
      </w:pPr>
    </w:p>
    <w:p>
      <w:pPr>
        <w:pStyle w:val="BodyText"/>
        <w:ind w:left="120"/>
      </w:pPr>
      <w:r>
        <w:rPr>
          <w:color w:val="231F20"/>
        </w:rPr>
        <w:t>D.R.</w:t>
      </w:r>
      <w:r>
        <w:rPr>
          <w:color w:val="231F20"/>
          <w:spacing w:val="-2"/>
        </w:rPr>
        <w:t> </w:t>
      </w:r>
      <w:r>
        <w:rPr>
          <w:color w:val="231F20"/>
        </w:rPr>
        <w:t>Felts,</w:t>
      </w:r>
      <w:r>
        <w:rPr>
          <w:color w:val="231F20"/>
          <w:spacing w:val="-1"/>
        </w:rPr>
        <w:t> </w:t>
      </w:r>
      <w:r>
        <w:rPr>
          <w:color w:val="231F20"/>
        </w:rPr>
        <w:t>P.</w:t>
      </w:r>
      <w:r>
        <w:rPr>
          <w:color w:val="231F20"/>
          <w:spacing w:val="-1"/>
        </w:rPr>
        <w:t> </w:t>
      </w:r>
      <w:r>
        <w:rPr>
          <w:color w:val="231F20"/>
        </w:rPr>
        <w:t>Bailey,</w:t>
      </w:r>
      <w:r>
        <w:rPr>
          <w:color w:val="231F20"/>
          <w:spacing w:val="-1"/>
        </w:rPr>
        <w:t> </w:t>
      </w:r>
      <w:r>
        <w:rPr>
          <w:color w:val="231F20"/>
        </w:rPr>
        <w:t>The</w:t>
      </w:r>
      <w:r>
        <w:rPr>
          <w:color w:val="231F20"/>
          <w:spacing w:val="9"/>
        </w:rPr>
        <w:t> </w:t>
      </w:r>
      <w:r>
        <w:rPr>
          <w:color w:val="231F20"/>
        </w:rPr>
        <w:t>State</w:t>
      </w:r>
      <w:r>
        <w:rPr>
          <w:color w:val="231F20"/>
          <w:spacing w:val="10"/>
        </w:rPr>
        <w:t> </w:t>
      </w:r>
      <w:r>
        <w:rPr>
          <w:color w:val="231F20"/>
        </w:rPr>
        <w:t>of</w:t>
      </w:r>
      <w:r>
        <w:rPr>
          <w:color w:val="231F20"/>
          <w:spacing w:val="-1"/>
        </w:rPr>
        <w:t> </w:t>
      </w:r>
      <w:r>
        <w:rPr>
          <w:color w:val="231F20"/>
        </w:rPr>
        <w:t>Affairs</w:t>
      </w:r>
      <w:r>
        <w:rPr>
          <w:color w:val="231F20"/>
          <w:spacing w:val="5"/>
        </w:rPr>
        <w:t> </w:t>
      </w:r>
      <w:r>
        <w:rPr>
          <w:color w:val="231F20"/>
        </w:rPr>
        <w:t>-</w:t>
      </w:r>
      <w:r>
        <w:rPr>
          <w:color w:val="231F20"/>
          <w:spacing w:val="10"/>
        </w:rPr>
        <w:t> </w:t>
      </w:r>
      <w:r>
        <w:rPr>
          <w:color w:val="231F20"/>
        </w:rPr>
        <w:t>Packaged</w:t>
      </w:r>
      <w:r>
        <w:rPr>
          <w:color w:val="231F20"/>
          <w:spacing w:val="9"/>
        </w:rPr>
        <w:t> </w:t>
      </w:r>
      <w:r>
        <w:rPr>
          <w:color w:val="231F20"/>
        </w:rPr>
        <w:t>Cooling</w:t>
      </w:r>
      <w:r>
        <w:rPr>
          <w:color w:val="231F20"/>
          <w:spacing w:val="11"/>
        </w:rPr>
        <w:t> </w:t>
      </w:r>
      <w:r>
        <w:rPr>
          <w:color w:val="231F20"/>
        </w:rPr>
        <w:t>Equipment</w:t>
      </w:r>
      <w:r>
        <w:rPr>
          <w:color w:val="231F20"/>
          <w:spacing w:val="-1"/>
        </w:rPr>
        <w:t> </w:t>
      </w:r>
      <w:r>
        <w:rPr>
          <w:color w:val="231F20"/>
        </w:rPr>
        <w:t>in</w:t>
      </w:r>
      <w:r>
        <w:rPr>
          <w:color w:val="231F20"/>
          <w:spacing w:val="10"/>
        </w:rPr>
        <w:t> </w:t>
      </w:r>
      <w:r>
        <w:rPr>
          <w:color w:val="231F20"/>
        </w:rPr>
        <w:t>California,</w:t>
      </w:r>
      <w:r>
        <w:rPr>
          <w:color w:val="231F20"/>
          <w:spacing w:val="-1"/>
        </w:rPr>
        <w:t> </w:t>
      </w:r>
      <w:r>
        <w:rPr>
          <w:color w:val="231F20"/>
          <w:spacing w:val="-2"/>
        </w:rPr>
        <w:t>2000.</w:t>
      </w:r>
    </w:p>
    <w:p>
      <w:pPr>
        <w:pStyle w:val="BodyText"/>
        <w:spacing w:before="6"/>
      </w:pPr>
    </w:p>
    <w:p>
      <w:pPr>
        <w:spacing w:line="278" w:lineRule="auto" w:before="0"/>
        <w:ind w:left="120" w:right="405" w:firstLine="0"/>
        <w:jc w:val="left"/>
        <w:rPr>
          <w:sz w:val="18"/>
        </w:rPr>
      </w:pPr>
      <w:r>
        <w:rPr>
          <w:color w:val="231F20"/>
          <w:sz w:val="18"/>
        </w:rPr>
        <w:t>Ery Djunaedy, Kevin van den Wymelenberg, Brad Acker, Harshana Thimmana. </w:t>
      </w:r>
      <w:r>
        <w:rPr>
          <w:i/>
          <w:color w:val="231F20"/>
          <w:sz w:val="18"/>
        </w:rPr>
        <w:t>Oversizing of HVAC system: Signatures and</w:t>
      </w:r>
      <w:r>
        <w:rPr>
          <w:i/>
          <w:color w:val="231F20"/>
          <w:sz w:val="18"/>
        </w:rPr>
        <w:t> penalties.</w:t>
      </w:r>
      <w:r>
        <w:rPr>
          <w:i/>
          <w:color w:val="231F20"/>
          <w:spacing w:val="40"/>
          <w:sz w:val="18"/>
        </w:rPr>
        <w:t> </w:t>
      </w:r>
      <w:r>
        <w:rPr>
          <w:color w:val="231F20"/>
          <w:sz w:val="18"/>
        </w:rPr>
        <w:t>"Energy and Buildings," Volume 43, Issues 2-3, 2011,</w:t>
      </w:r>
    </w:p>
    <w:p>
      <w:pPr>
        <w:pStyle w:val="BodyText"/>
        <w:spacing w:before="7"/>
        <w:rPr>
          <w:sz w:val="15"/>
        </w:rPr>
      </w:pPr>
    </w:p>
    <w:p>
      <w:pPr>
        <w:pStyle w:val="BodyText"/>
        <w:spacing w:line="278" w:lineRule="auto" w:before="1"/>
        <w:ind w:left="120"/>
      </w:pPr>
      <w:r>
        <w:rPr>
          <w:color w:val="231F20"/>
        </w:rPr>
        <w:t>H.McLain,D.Goldberg, Beneits of Replacing</w:t>
      </w:r>
      <w:r>
        <w:rPr>
          <w:color w:val="231F20"/>
          <w:spacing w:val="29"/>
        </w:rPr>
        <w:t> </w:t>
      </w:r>
      <w:r>
        <w:rPr>
          <w:color w:val="231F20"/>
        </w:rPr>
        <w:t>Residential</w:t>
      </w:r>
      <w:r>
        <w:rPr>
          <w:color w:val="231F20"/>
          <w:spacing w:val="29"/>
        </w:rPr>
        <w:t> </w:t>
      </w:r>
      <w:r>
        <w:rPr>
          <w:color w:val="231F20"/>
        </w:rPr>
        <w:t>Central</w:t>
      </w:r>
      <w:r>
        <w:rPr>
          <w:color w:val="231F20"/>
          <w:spacing w:val="29"/>
        </w:rPr>
        <w:t> </w:t>
      </w:r>
      <w:r>
        <w:rPr>
          <w:color w:val="231F20"/>
        </w:rPr>
        <w:t>Air Conditioning</w:t>
      </w:r>
      <w:r>
        <w:rPr>
          <w:color w:val="231F20"/>
          <w:spacing w:val="29"/>
        </w:rPr>
        <w:t> </w:t>
      </w:r>
      <w:r>
        <w:rPr>
          <w:color w:val="231F20"/>
        </w:rPr>
        <w:t>Systems, American</w:t>
      </w:r>
      <w:r>
        <w:rPr>
          <w:color w:val="231F20"/>
          <w:spacing w:val="29"/>
        </w:rPr>
        <w:t> </w:t>
      </w:r>
      <w:r>
        <w:rPr>
          <w:color w:val="231F20"/>
        </w:rPr>
        <w:t>Council</w:t>
      </w:r>
      <w:r>
        <w:rPr>
          <w:color w:val="231F20"/>
          <w:spacing w:val="29"/>
        </w:rPr>
        <w:t> </w:t>
      </w:r>
      <w:r>
        <w:rPr>
          <w:color w:val="231F20"/>
        </w:rPr>
        <w:t>for an</w:t>
      </w:r>
      <w:r>
        <w:rPr>
          <w:color w:val="231F20"/>
          <w:spacing w:val="29"/>
        </w:rPr>
        <w:t> </w:t>
      </w:r>
      <w:r>
        <w:rPr>
          <w:color w:val="231F20"/>
        </w:rPr>
        <w:t>Energy-</w:t>
      </w:r>
      <w:r>
        <w:rPr>
          <w:color w:val="231F20"/>
          <w:spacing w:val="-2"/>
          <w:w w:val="84"/>
        </w:rPr>
        <w:t>E</w:t>
      </w:r>
      <w:r>
        <w:rPr>
          <w:color w:val="231F20"/>
          <w:spacing w:val="-6"/>
          <w:w w:val="84"/>
        </w:rPr>
        <w:t>f</w:t>
      </w:r>
      <w:r>
        <w:rPr>
          <w:color w:val="231F20"/>
          <w:spacing w:val="-1"/>
          <w:w w:val="209"/>
        </w:rPr>
        <w:t>i</w:t>
      </w:r>
      <w:r>
        <w:rPr>
          <w:color w:val="231F20"/>
          <w:spacing w:val="-1"/>
          <w:w w:val="84"/>
        </w:rPr>
        <w:t>c</w:t>
      </w:r>
      <w:r>
        <w:rPr>
          <w:color w:val="231F20"/>
          <w:spacing w:val="4"/>
          <w:w w:val="84"/>
        </w:rPr>
        <w:t>i</w:t>
      </w:r>
      <w:r>
        <w:rPr>
          <w:color w:val="231F20"/>
          <w:spacing w:val="3"/>
          <w:w w:val="84"/>
        </w:rPr>
        <w:t>en</w:t>
      </w:r>
      <w:r>
        <w:rPr>
          <w:color w:val="231F20"/>
          <w:spacing w:val="-1"/>
          <w:w w:val="84"/>
        </w:rPr>
        <w:t>t</w:t>
      </w:r>
      <w:r>
        <w:rPr>
          <w:color w:val="231F20"/>
          <w:spacing w:val="-1"/>
          <w:w w:val="99"/>
        </w:rPr>
        <w:t> </w:t>
      </w:r>
      <w:r>
        <w:rPr>
          <w:color w:val="231F20"/>
        </w:rPr>
        <w:t>Economy, Washington DC, USA, 1984, pp. E226-E227.</w:t>
      </w:r>
    </w:p>
    <w:p>
      <w:pPr>
        <w:spacing w:after="0" w:line="278" w:lineRule="auto"/>
        <w:sectPr>
          <w:footerReference w:type="default" r:id="rId5"/>
          <w:type w:val="continuous"/>
          <w:pgSz w:w="12240" w:h="15840"/>
          <w:pgMar w:footer="234" w:header="0" w:top="860" w:bottom="420" w:left="540" w:right="540"/>
          <w:pgNumType w:start="734"/>
        </w:sectPr>
      </w:pPr>
    </w:p>
    <w:p>
      <w:pPr>
        <w:pStyle w:val="Heading1"/>
        <w:spacing w:before="46"/>
      </w:pPr>
      <w:r>
        <w:rPr>
          <w:color w:val="231F20"/>
        </w:rPr>
        <w:t>Cost</w:t>
      </w:r>
      <w:r>
        <w:rPr>
          <w:color w:val="231F20"/>
          <w:spacing w:val="-4"/>
        </w:rPr>
        <w:t> </w:t>
      </w:r>
      <w:r>
        <w:rPr>
          <w:color w:val="231F20"/>
          <w:spacing w:val="-2"/>
        </w:rPr>
        <w:t>Impact:</w:t>
      </w:r>
    </w:p>
    <w:p>
      <w:pPr>
        <w:pStyle w:val="BodyText"/>
        <w:spacing w:before="6"/>
        <w:rPr>
          <w:b/>
        </w:rPr>
      </w:pPr>
    </w:p>
    <w:p>
      <w:pPr>
        <w:pStyle w:val="BodyText"/>
        <w:ind w:left="120"/>
      </w:pPr>
      <w:r>
        <w:rPr>
          <w:color w:val="231F20"/>
        </w:rPr>
        <w:t>The</w:t>
      </w:r>
      <w:r>
        <w:rPr>
          <w:color w:val="231F20"/>
          <w:spacing w:val="8"/>
        </w:rPr>
        <w:t> </w:t>
      </w:r>
      <w:r>
        <w:rPr>
          <w:color w:val="231F20"/>
        </w:rPr>
        <w:t>code</w:t>
      </w:r>
      <w:r>
        <w:rPr>
          <w:color w:val="231F20"/>
          <w:spacing w:val="8"/>
        </w:rPr>
        <w:t> </w:t>
      </w:r>
      <w:r>
        <w:rPr>
          <w:color w:val="231F20"/>
        </w:rPr>
        <w:t>change</w:t>
      </w:r>
      <w:r>
        <w:rPr>
          <w:color w:val="231F20"/>
          <w:spacing w:val="8"/>
        </w:rPr>
        <w:t> </w:t>
      </w:r>
      <w:r>
        <w:rPr>
          <w:color w:val="231F20"/>
        </w:rPr>
        <w:t>proposal</w:t>
      </w:r>
      <w:r>
        <w:rPr>
          <w:color w:val="231F20"/>
          <w:spacing w:val="8"/>
        </w:rPr>
        <w:t> </w:t>
      </w:r>
      <w:r>
        <w:rPr>
          <w:color w:val="231F20"/>
        </w:rPr>
        <w:t>will</w:t>
      </w:r>
      <w:r>
        <w:rPr>
          <w:color w:val="231F20"/>
          <w:spacing w:val="8"/>
        </w:rPr>
        <w:t> </w:t>
      </w:r>
      <w:r>
        <w:rPr>
          <w:color w:val="231F20"/>
        </w:rPr>
        <w:t>decrease</w:t>
      </w:r>
      <w:r>
        <w:rPr>
          <w:color w:val="231F20"/>
          <w:spacing w:val="8"/>
        </w:rPr>
        <w:t> </w:t>
      </w:r>
      <w:r>
        <w:rPr>
          <w:color w:val="231F20"/>
        </w:rPr>
        <w:t>the</w:t>
      </w:r>
      <w:r>
        <w:rPr>
          <w:color w:val="231F20"/>
          <w:spacing w:val="8"/>
        </w:rPr>
        <w:t> </w:t>
      </w:r>
      <w:r>
        <w:rPr>
          <w:color w:val="231F20"/>
        </w:rPr>
        <w:t>cost</w:t>
      </w:r>
      <w:r>
        <w:rPr>
          <w:color w:val="231F20"/>
          <w:spacing w:val="-3"/>
        </w:rPr>
        <w:t> </w:t>
      </w:r>
      <w:r>
        <w:rPr>
          <w:color w:val="231F20"/>
        </w:rPr>
        <w:t>of</w:t>
      </w:r>
      <w:r>
        <w:rPr>
          <w:color w:val="231F20"/>
          <w:spacing w:val="-2"/>
        </w:rPr>
        <w:t> construction.</w:t>
      </w:r>
    </w:p>
    <w:p>
      <w:pPr>
        <w:pStyle w:val="BodyText"/>
        <w:spacing w:before="6"/>
      </w:pPr>
    </w:p>
    <w:p>
      <w:pPr>
        <w:pStyle w:val="BodyText"/>
        <w:spacing w:line="278" w:lineRule="auto"/>
        <w:ind w:left="120"/>
      </w:pPr>
      <w:r>
        <w:rPr>
          <w:color w:val="231F20"/>
        </w:rPr>
        <w:t>As "wrong-sized" equipment is generally oversized, this proposal will generally decrease the cost of installation.</w:t>
      </w:r>
      <w:r>
        <w:rPr>
          <w:color w:val="231F20"/>
          <w:spacing w:val="40"/>
        </w:rPr>
        <w:t> </w:t>
      </w:r>
      <w:r>
        <w:rPr>
          <w:color w:val="231F20"/>
        </w:rPr>
        <w:t>Smaller, right-sized equipment will generally be less costly to install.</w:t>
      </w:r>
    </w:p>
    <w:p>
      <w:pPr>
        <w:pStyle w:val="BodyText"/>
        <w:spacing w:before="7"/>
        <w:rPr>
          <w:sz w:val="15"/>
        </w:rPr>
      </w:pPr>
    </w:p>
    <w:p>
      <w:pPr>
        <w:pStyle w:val="BodyText"/>
        <w:ind w:left="120"/>
      </w:pPr>
      <w:r>
        <w:rPr>
          <w:color w:val="231F20"/>
        </w:rPr>
        <w:t>CEPI-228-</w:t>
      </w:r>
      <w:r>
        <w:rPr>
          <w:color w:val="231F20"/>
          <w:spacing w:val="-5"/>
        </w:rPr>
        <w:t>21</w:t>
      </w:r>
    </w:p>
    <w:sectPr>
      <w:pgSz w:w="12240" w:h="15840"/>
      <w:pgMar w:header="0" w:footer="234" w:top="820" w:bottom="420" w:left="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000099pt;margin-top:769.27533pt;width:272.3pt;height:10.95pt;mso-position-horizontal-relative:page;mso-position-vertical-relative:page;z-index:-15773184" type="#_x0000_t202" id="docshape1" filled="false" stroked="false">
          <v:textbox inset="0,0,0,0">
            <w:txbxContent>
              <w:p>
                <w:pPr>
                  <w:spacing w:before="14"/>
                  <w:ind w:left="20" w:right="0" w:firstLine="0"/>
                  <w:jc w:val="left"/>
                  <w:rPr>
                    <w:b/>
                    <w:sz w:val="16"/>
                  </w:rPr>
                </w:pPr>
                <w:r>
                  <w:rPr>
                    <w:b/>
                    <w:color w:val="231F20"/>
                    <w:sz w:val="16"/>
                  </w:rPr>
                  <w:t>2021</w:t>
                </w:r>
                <w:r>
                  <w:rPr>
                    <w:b/>
                    <w:color w:val="231F20"/>
                    <w:spacing w:val="-5"/>
                    <w:sz w:val="16"/>
                  </w:rPr>
                  <w:t> </w:t>
                </w:r>
                <w:r>
                  <w:rPr>
                    <w:b/>
                    <w:color w:val="231F20"/>
                    <w:sz w:val="16"/>
                  </w:rPr>
                  <w:t>PUBLIC</w:t>
                </w:r>
                <w:r>
                  <w:rPr>
                    <w:b/>
                    <w:color w:val="231F20"/>
                    <w:spacing w:val="-1"/>
                    <w:sz w:val="16"/>
                  </w:rPr>
                  <w:t> </w:t>
                </w:r>
                <w:r>
                  <w:rPr>
                    <w:b/>
                    <w:color w:val="231F20"/>
                    <w:sz w:val="16"/>
                  </w:rPr>
                  <w:t>INPUT</w:t>
                </w:r>
                <w:r>
                  <w:rPr>
                    <w:b/>
                    <w:color w:val="231F20"/>
                    <w:spacing w:val="-2"/>
                    <w:sz w:val="16"/>
                  </w:rPr>
                  <w:t> </w:t>
                </w:r>
                <w:r>
                  <w:rPr>
                    <w:b/>
                    <w:color w:val="231F20"/>
                    <w:sz w:val="16"/>
                  </w:rPr>
                  <w:t>TO</w:t>
                </w:r>
                <w:r>
                  <w:rPr>
                    <w:b/>
                    <w:color w:val="231F20"/>
                    <w:spacing w:val="-1"/>
                    <w:sz w:val="16"/>
                  </w:rPr>
                  <w:t> </w:t>
                </w:r>
                <w:r>
                  <w:rPr>
                    <w:b/>
                    <w:color w:val="231F20"/>
                    <w:sz w:val="16"/>
                  </w:rPr>
                  <w:t>THE</w:t>
                </w:r>
                <w:r>
                  <w:rPr>
                    <w:b/>
                    <w:color w:val="231F20"/>
                    <w:spacing w:val="-2"/>
                    <w:sz w:val="16"/>
                  </w:rPr>
                  <w:t> </w:t>
                </w:r>
                <w:r>
                  <w:rPr>
                    <w:b/>
                    <w:color w:val="231F20"/>
                    <w:sz w:val="16"/>
                  </w:rPr>
                  <w:t>2021</w:t>
                </w:r>
                <w:r>
                  <w:rPr>
                    <w:b/>
                    <w:color w:val="231F20"/>
                    <w:spacing w:val="-2"/>
                    <w:sz w:val="16"/>
                  </w:rPr>
                  <w:t> </w:t>
                </w:r>
                <w:r>
                  <w:rPr>
                    <w:b/>
                    <w:color w:val="231F20"/>
                    <w:sz w:val="16"/>
                  </w:rPr>
                  <w:t>IECC,</w:t>
                </w:r>
                <w:r>
                  <w:rPr>
                    <w:b/>
                    <w:color w:val="231F20"/>
                    <w:spacing w:val="-2"/>
                    <w:sz w:val="16"/>
                  </w:rPr>
                  <w:t> </w:t>
                </w:r>
                <w:r>
                  <w:rPr>
                    <w:b/>
                    <w:color w:val="231F20"/>
                    <w:sz w:val="16"/>
                  </w:rPr>
                  <w:t>IRC</w:t>
                </w:r>
                <w:r>
                  <w:rPr>
                    <w:b/>
                    <w:color w:val="231F20"/>
                    <w:spacing w:val="-1"/>
                    <w:sz w:val="16"/>
                  </w:rPr>
                  <w:t> </w:t>
                </w:r>
                <w:r>
                  <w:rPr>
                    <w:b/>
                    <w:color w:val="231F20"/>
                    <w:sz w:val="16"/>
                  </w:rPr>
                  <w:t>CH.</w:t>
                </w:r>
                <w:r>
                  <w:rPr>
                    <w:b/>
                    <w:color w:val="231F20"/>
                    <w:spacing w:val="-3"/>
                    <w:sz w:val="16"/>
                  </w:rPr>
                  <w:t> </w:t>
                </w:r>
                <w:r>
                  <w:rPr>
                    <w:b/>
                    <w:color w:val="231F20"/>
                    <w:sz w:val="16"/>
                  </w:rPr>
                  <w:t>11,</w:t>
                </w:r>
                <w:r>
                  <w:rPr>
                    <w:b/>
                    <w:color w:val="231F20"/>
                    <w:spacing w:val="-2"/>
                    <w:sz w:val="16"/>
                  </w:rPr>
                  <w:t> </w:t>
                </w:r>
                <w:r>
                  <w:rPr>
                    <w:b/>
                    <w:color w:val="231F20"/>
                    <w:sz w:val="16"/>
                  </w:rPr>
                  <w:t>AND</w:t>
                </w:r>
                <w:r>
                  <w:rPr>
                    <w:b/>
                    <w:color w:val="231F20"/>
                    <w:spacing w:val="-3"/>
                    <w:sz w:val="16"/>
                  </w:rPr>
                  <w:t> </w:t>
                </w:r>
                <w:r>
                  <w:rPr>
                    <w:b/>
                    <w:color w:val="231F20"/>
                    <w:sz w:val="16"/>
                  </w:rPr>
                  <w:t>ICCPC</w:t>
                </w:r>
                <w:r>
                  <w:rPr>
                    <w:b/>
                    <w:color w:val="231F20"/>
                    <w:spacing w:val="-1"/>
                    <w:sz w:val="16"/>
                  </w:rPr>
                  <w:t> </w:t>
                </w:r>
                <w:r>
                  <w:rPr>
                    <w:b/>
                    <w:color w:val="231F20"/>
                    <w:sz w:val="16"/>
                  </w:rPr>
                  <w:t>CH.</w:t>
                </w:r>
                <w:r>
                  <w:rPr>
                    <w:b/>
                    <w:color w:val="231F20"/>
                    <w:spacing w:val="-2"/>
                    <w:sz w:val="16"/>
                  </w:rPr>
                  <w:t> </w:t>
                </w:r>
                <w:r>
                  <w:rPr>
                    <w:b/>
                    <w:color w:val="231F20"/>
                    <w:spacing w:val="-5"/>
                    <w:sz w:val="16"/>
                  </w:rPr>
                  <w:t>15</w:t>
                </w:r>
              </w:p>
            </w:txbxContent>
          </v:textbox>
          <w10:wrap type="none"/>
        </v:shape>
      </w:pict>
    </w:r>
    <w:r>
      <w:rPr/>
      <w:pict>
        <v:shape style="position:absolute;margin-left:514.543213pt;margin-top:769.27533pt;width:29.45pt;height:10.95pt;mso-position-horizontal-relative:page;mso-position-vertical-relative:page;z-index:-15772672" type="#_x0000_t202" id="docshape2" filled="false" stroked="false">
          <v:textbox inset="0,0,0,0">
            <w:txbxContent>
              <w:p>
                <w:pPr>
                  <w:spacing w:before="14"/>
                  <w:ind w:left="20" w:right="0" w:firstLine="0"/>
                  <w:jc w:val="left"/>
                  <w:rPr>
                    <w:b/>
                    <w:sz w:val="16"/>
                  </w:rPr>
                </w:pPr>
                <w:r>
                  <w:rPr>
                    <w:b/>
                    <w:color w:val="231F20"/>
                    <w:spacing w:val="-2"/>
                    <w:sz w:val="16"/>
                  </w:rPr>
                  <w:t>CE</w:t>
                </w:r>
                <w:r>
                  <w:rPr>
                    <w:b/>
                    <w:color w:val="231F20"/>
                    <w:spacing w:val="-2"/>
                    <w:sz w:val="16"/>
                  </w:rPr>
                  <w:fldChar w:fldCharType="begin"/>
                </w:r>
                <w:r>
                  <w:rPr>
                    <w:b/>
                    <w:color w:val="231F20"/>
                    <w:spacing w:val="-2"/>
                    <w:sz w:val="16"/>
                  </w:rPr>
                  <w:instrText> PAGE </w:instrText>
                </w:r>
                <w:r>
                  <w:rPr>
                    <w:b/>
                    <w:color w:val="231F20"/>
                    <w:spacing w:val="-2"/>
                    <w:sz w:val="16"/>
                  </w:rPr>
                  <w:fldChar w:fldCharType="separate"/>
                </w:r>
                <w:r>
                  <w:rPr>
                    <w:b/>
                    <w:color w:val="231F20"/>
                    <w:spacing w:val="-2"/>
                    <w:sz w:val="16"/>
                  </w:rPr>
                  <w:t>734</w:t>
                </w:r>
                <w:r>
                  <w:rPr>
                    <w:b/>
                    <w:color w:val="231F20"/>
                    <w:spacing w:val="-2"/>
                    <w:sz w:val="1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60" w:hanging="241"/>
        <w:jc w:val="left"/>
      </w:pPr>
      <w:rPr>
        <w:rFonts w:hint="default" w:ascii="Arial" w:hAnsi="Arial" w:eastAsia="Arial" w:cs="Arial"/>
        <w:b w:val="0"/>
        <w:bCs w:val="0"/>
        <w:i w:val="0"/>
        <w:iCs w:val="0"/>
        <w:color w:val="231F20"/>
        <w:spacing w:val="-5"/>
        <w:w w:val="100"/>
        <w:sz w:val="18"/>
        <w:szCs w:val="18"/>
      </w:rPr>
    </w:lvl>
    <w:lvl w:ilvl="1">
      <w:start w:val="0"/>
      <w:numFmt w:val="bullet"/>
      <w:lvlText w:val="•"/>
      <w:lvlJc w:val="left"/>
      <w:pPr>
        <w:ind w:left="1440" w:hanging="241"/>
      </w:pPr>
      <w:rPr>
        <w:rFonts w:hint="default"/>
      </w:rPr>
    </w:lvl>
    <w:lvl w:ilvl="2">
      <w:start w:val="0"/>
      <w:numFmt w:val="bullet"/>
      <w:lvlText w:val="•"/>
      <w:lvlJc w:val="left"/>
      <w:pPr>
        <w:ind w:left="2520" w:hanging="241"/>
      </w:pPr>
      <w:rPr>
        <w:rFonts w:hint="default"/>
      </w:rPr>
    </w:lvl>
    <w:lvl w:ilvl="3">
      <w:start w:val="0"/>
      <w:numFmt w:val="bullet"/>
      <w:lvlText w:val="•"/>
      <w:lvlJc w:val="left"/>
      <w:pPr>
        <w:ind w:left="3600" w:hanging="241"/>
      </w:pPr>
      <w:rPr>
        <w:rFonts w:hint="default"/>
      </w:rPr>
    </w:lvl>
    <w:lvl w:ilvl="4">
      <w:start w:val="0"/>
      <w:numFmt w:val="bullet"/>
      <w:lvlText w:val="•"/>
      <w:lvlJc w:val="left"/>
      <w:pPr>
        <w:ind w:left="4680" w:hanging="241"/>
      </w:pPr>
      <w:rPr>
        <w:rFonts w:hint="default"/>
      </w:rPr>
    </w:lvl>
    <w:lvl w:ilvl="5">
      <w:start w:val="0"/>
      <w:numFmt w:val="bullet"/>
      <w:lvlText w:val="•"/>
      <w:lvlJc w:val="left"/>
      <w:pPr>
        <w:ind w:left="5760" w:hanging="241"/>
      </w:pPr>
      <w:rPr>
        <w:rFonts w:hint="default"/>
      </w:rPr>
    </w:lvl>
    <w:lvl w:ilvl="6">
      <w:start w:val="0"/>
      <w:numFmt w:val="bullet"/>
      <w:lvlText w:val="•"/>
      <w:lvlJc w:val="left"/>
      <w:pPr>
        <w:ind w:left="6840" w:hanging="241"/>
      </w:pPr>
      <w:rPr>
        <w:rFonts w:hint="default"/>
      </w:rPr>
    </w:lvl>
    <w:lvl w:ilvl="7">
      <w:start w:val="0"/>
      <w:numFmt w:val="bullet"/>
      <w:lvlText w:val="•"/>
      <w:lvlJc w:val="left"/>
      <w:pPr>
        <w:ind w:left="7920" w:hanging="241"/>
      </w:pPr>
      <w:rPr>
        <w:rFonts w:hint="default"/>
      </w:rPr>
    </w:lvl>
    <w:lvl w:ilvl="8">
      <w:start w:val="0"/>
      <w:numFmt w:val="bullet"/>
      <w:lvlText w:val="•"/>
      <w:lvlJc w:val="left"/>
      <w:pPr>
        <w:ind w:left="9000" w:hanging="24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ind w:left="120"/>
      <w:outlineLvl w:val="1"/>
    </w:pPr>
    <w:rPr>
      <w:rFonts w:ascii="Arial" w:hAnsi="Arial" w:eastAsia="Arial" w:cs="Arial"/>
      <w:b/>
      <w:bCs/>
      <w:sz w:val="18"/>
      <w:szCs w:val="18"/>
    </w:rPr>
  </w:style>
  <w:style w:styleId="Title" w:type="paragraph">
    <w:name w:val="Title"/>
    <w:basedOn w:val="Normal"/>
    <w:uiPriority w:val="1"/>
    <w:qFormat/>
    <w:pPr>
      <w:spacing w:before="17"/>
      <w:ind w:left="120"/>
    </w:pPr>
    <w:rPr>
      <w:rFonts w:ascii="Arial" w:hAnsi="Arial" w:eastAsia="Arial" w:cs="Arial"/>
      <w:b/>
      <w:bCs/>
      <w:sz w:val="36"/>
      <w:szCs w:val="36"/>
    </w:rPr>
  </w:style>
  <w:style w:styleId="ListParagraph" w:type="paragraph">
    <w:name w:val="List Paragraph"/>
    <w:basedOn w:val="Normal"/>
    <w:uiPriority w:val="1"/>
    <w:qFormat/>
    <w:pPr>
      <w:spacing w:before="1"/>
      <w:ind w:left="12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johnb</dc:creator>
  <dc:title>2021-Public-Input-Complete-Monograph_-Revised-12-14-2021_reduced-file-sizeII.pdf</dc:title>
  <dcterms:created xsi:type="dcterms:W3CDTF">2022-04-20T17:50:43Z</dcterms:created>
  <dcterms:modified xsi:type="dcterms:W3CDTF">2022-04-20T17:50:43Z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Adobe Acrobat Pro 11.0.23</vt:lpwstr>
  </property>
  <property fmtid="{D5CDD505-2E9C-101B-9397-08002B2CF9AE}" pid="4" name="LastSaved">
    <vt:filetime>2022-04-20T00:00:00Z</vt:filetime>
  </property>
</Properties>
</file>