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0012E" w14:textId="1CB4A201" w:rsidR="009F5E63" w:rsidRDefault="009F5E63" w:rsidP="009F5E63">
      <w:pPr>
        <w:pStyle w:val="Title"/>
      </w:pPr>
      <w:r>
        <w:rPr>
          <w:color w:val="231F20"/>
          <w:spacing w:val="-4"/>
        </w:rPr>
        <w:t>CEPI-99-</w:t>
      </w:r>
      <w:r>
        <w:rPr>
          <w:color w:val="231F20"/>
          <w:spacing w:val="-5"/>
        </w:rPr>
        <w:t>21</w:t>
      </w:r>
      <w:r>
        <w:rPr>
          <w:color w:val="231F20"/>
          <w:spacing w:val="-5"/>
        </w:rPr>
        <w:t xml:space="preserve"> (Clean version)</w:t>
      </w:r>
      <w:bookmarkStart w:id="0" w:name="_GoBack"/>
      <w:bookmarkEnd w:id="0"/>
    </w:p>
    <w:p w14:paraId="36BA1AB0" w14:textId="77777777" w:rsidR="009F5E63" w:rsidRDefault="009F5E63" w:rsidP="009F5E63">
      <w:pPr>
        <w:pStyle w:val="Heading1"/>
        <w:spacing w:before="295"/>
      </w:pPr>
      <w:r>
        <w:rPr>
          <w:color w:val="231F20"/>
        </w:rPr>
        <w:t>IECC®:</w:t>
      </w:r>
      <w:r>
        <w:rPr>
          <w:color w:val="231F20"/>
          <w:spacing w:val="-4"/>
        </w:rPr>
        <w:t xml:space="preserve"> </w:t>
      </w:r>
      <w:r>
        <w:rPr>
          <w:color w:val="231F20"/>
        </w:rPr>
        <w:t>SECTION</w:t>
      </w:r>
      <w:r>
        <w:rPr>
          <w:color w:val="231F20"/>
          <w:spacing w:val="3"/>
        </w:rPr>
        <w:t xml:space="preserve"> </w:t>
      </w:r>
      <w:r>
        <w:rPr>
          <w:color w:val="231F20"/>
        </w:rPr>
        <w:t>202</w:t>
      </w:r>
      <w:r>
        <w:rPr>
          <w:color w:val="231F20"/>
          <w:spacing w:val="3"/>
        </w:rPr>
        <w:t xml:space="preserve"> </w:t>
      </w:r>
      <w:r>
        <w:rPr>
          <w:color w:val="231F20"/>
        </w:rPr>
        <w:t>(New),</w:t>
      </w:r>
      <w:r>
        <w:rPr>
          <w:color w:val="231F20"/>
          <w:spacing w:val="-7"/>
        </w:rPr>
        <w:t xml:space="preserve"> </w:t>
      </w:r>
      <w:r>
        <w:rPr>
          <w:color w:val="231F20"/>
        </w:rPr>
        <w:t>C403.4.1.6</w:t>
      </w:r>
      <w:r>
        <w:rPr>
          <w:color w:val="231F20"/>
          <w:spacing w:val="3"/>
        </w:rPr>
        <w:t xml:space="preserve"> </w:t>
      </w:r>
      <w:r>
        <w:rPr>
          <w:color w:val="231F20"/>
        </w:rPr>
        <w:t>(New)</w:t>
      </w:r>
    </w:p>
    <w:p w14:paraId="1C9EB359" w14:textId="77777777" w:rsidR="009F5E63" w:rsidRDefault="009F5E63" w:rsidP="009F5E63">
      <w:pPr>
        <w:pStyle w:val="BodyText"/>
        <w:spacing w:before="6"/>
        <w:rPr>
          <w:b/>
        </w:rPr>
      </w:pPr>
    </w:p>
    <w:p w14:paraId="0F5315E8" w14:textId="77777777" w:rsidR="009F5E63" w:rsidRDefault="009F5E63" w:rsidP="009F5E63">
      <w:pPr>
        <w:ind w:left="100"/>
        <w:rPr>
          <w:b/>
          <w:sz w:val="18"/>
        </w:rPr>
      </w:pPr>
      <w:r>
        <w:rPr>
          <w:b/>
          <w:color w:val="231F20"/>
          <w:spacing w:val="-2"/>
          <w:sz w:val="18"/>
        </w:rPr>
        <w:t>Proponents:</w:t>
      </w:r>
    </w:p>
    <w:p w14:paraId="017C1E15" w14:textId="77777777" w:rsidR="009F5E63" w:rsidRDefault="009F5E63" w:rsidP="009F5E63">
      <w:pPr>
        <w:pStyle w:val="BodyText"/>
        <w:spacing w:before="6"/>
        <w:rPr>
          <w:b/>
        </w:rPr>
      </w:pPr>
    </w:p>
    <w:p w14:paraId="119AB2F8" w14:textId="77777777" w:rsidR="009F5E63" w:rsidRPr="00492ACB" w:rsidRDefault="009F5E63" w:rsidP="009F5E63">
      <w:pPr>
        <w:pStyle w:val="BodyText"/>
        <w:spacing w:line="278" w:lineRule="auto"/>
        <w:ind w:left="100" w:right="190"/>
        <w:rPr>
          <w:color w:val="231F20"/>
        </w:rPr>
      </w:pPr>
      <w:r w:rsidRPr="00492ACB">
        <w:rPr>
          <w:color w:val="231F20"/>
        </w:rPr>
        <w:t xml:space="preserve">Kim Cheslak, NBI, representing NBI (kim@newbuildings.org); Josh Keeling, representing </w:t>
      </w:r>
      <w:proofErr w:type="spellStart"/>
      <w:r w:rsidRPr="00492ACB">
        <w:rPr>
          <w:color w:val="231F20"/>
        </w:rPr>
        <w:t>Cadeo</w:t>
      </w:r>
      <w:proofErr w:type="spellEnd"/>
      <w:r w:rsidRPr="00492ACB">
        <w:rPr>
          <w:color w:val="231F20"/>
        </w:rPr>
        <w:t xml:space="preserve"> Group (jkeeling@cadeogroup.com);</w:t>
      </w:r>
    </w:p>
    <w:p w14:paraId="76D0956E" w14:textId="77777777" w:rsidR="009F5E63" w:rsidRPr="001F7CE0" w:rsidRDefault="009F5E63" w:rsidP="009F5E63">
      <w:pPr>
        <w:pStyle w:val="BodyText"/>
        <w:spacing w:line="278" w:lineRule="auto"/>
        <w:ind w:left="100" w:right="190"/>
        <w:rPr>
          <w:color w:val="231F20"/>
        </w:rPr>
      </w:pPr>
      <w:r w:rsidRPr="001F7CE0">
        <w:rPr>
          <w:color w:val="231F20"/>
        </w:rPr>
        <w:t>Ben Rabe, representing Fresh Energy (rabe@fresh-energy.org); Bryan Bomer, representing Department of Permitting Services</w:t>
      </w:r>
    </w:p>
    <w:p w14:paraId="3B01914A" w14:textId="77777777" w:rsidR="009F5E63" w:rsidRPr="001F7CE0" w:rsidRDefault="009F5E63" w:rsidP="009F5E63">
      <w:pPr>
        <w:pStyle w:val="BodyText"/>
        <w:spacing w:line="278" w:lineRule="auto"/>
        <w:ind w:left="100" w:right="190"/>
        <w:rPr>
          <w:color w:val="231F20"/>
        </w:rPr>
      </w:pPr>
      <w:r w:rsidRPr="001F7CE0">
        <w:rPr>
          <w:color w:val="231F20"/>
        </w:rPr>
        <w:t>(bryan.bomer@montgomerycountymd.gov); Lauren Urbanek, representing Natural Resources Defense Council (lurbanek@nrdc.org);</w:t>
      </w:r>
    </w:p>
    <w:p w14:paraId="462F8A8A" w14:textId="77777777" w:rsidR="009F5E63" w:rsidRPr="001F7CE0" w:rsidRDefault="009F5E63" w:rsidP="009F5E63">
      <w:pPr>
        <w:pStyle w:val="BodyText"/>
        <w:spacing w:line="278" w:lineRule="auto"/>
        <w:ind w:left="100" w:right="190"/>
        <w:rPr>
          <w:color w:val="231F20"/>
        </w:rPr>
      </w:pPr>
      <w:r w:rsidRPr="001F7CE0">
        <w:rPr>
          <w:color w:val="231F20"/>
        </w:rPr>
        <w:t>Howard Wiig, representing Hawaii State Energy Office (howard.c.wiig@hawaii.gov); Kim Burke, representing Colorado Energy Office</w:t>
      </w:r>
    </w:p>
    <w:p w14:paraId="28E2B4FD" w14:textId="77777777" w:rsidR="009F5E63" w:rsidRPr="001F7CE0" w:rsidRDefault="009F5E63" w:rsidP="009F5E63">
      <w:pPr>
        <w:pStyle w:val="BodyText"/>
        <w:spacing w:line="278" w:lineRule="auto"/>
        <w:ind w:left="100" w:right="190"/>
        <w:rPr>
          <w:color w:val="231F20"/>
        </w:rPr>
      </w:pPr>
      <w:r w:rsidRPr="001F7CE0">
        <w:rPr>
          <w:color w:val="231F20"/>
        </w:rPr>
        <w:t>(kim.burke@state.co.us); Brad Smith, representing City of Fort Collins (brsmith@fcgov.com); Matt Tidwell, representing Portland</w:t>
      </w:r>
    </w:p>
    <w:p w14:paraId="1C46141F" w14:textId="77777777" w:rsidR="009F5E63" w:rsidRPr="001F7CE0" w:rsidRDefault="009F5E63" w:rsidP="009F5E63">
      <w:pPr>
        <w:pStyle w:val="BodyText"/>
        <w:spacing w:line="278" w:lineRule="auto"/>
        <w:ind w:left="100" w:right="190"/>
        <w:rPr>
          <w:color w:val="231F20"/>
        </w:rPr>
      </w:pPr>
      <w:r w:rsidRPr="001F7CE0">
        <w:rPr>
          <w:color w:val="231F20"/>
        </w:rPr>
        <w:t>General Electric (matthew.tidwell@pgn.com); Chris Castro, representing City of Orlando (chris.castro@orlando.gov); Amber Wood,</w:t>
      </w:r>
    </w:p>
    <w:p w14:paraId="477EA44E" w14:textId="77777777" w:rsidR="009F5E63" w:rsidRPr="001F7CE0" w:rsidRDefault="009F5E63" w:rsidP="009F5E63">
      <w:pPr>
        <w:pStyle w:val="BodyText"/>
        <w:spacing w:line="278" w:lineRule="auto"/>
        <w:ind w:left="100" w:right="190"/>
      </w:pPr>
      <w:r w:rsidRPr="001F7CE0">
        <w:rPr>
          <w:color w:val="231F20"/>
        </w:rPr>
        <w:t>representing ACEEE (awood@aceee.org)</w:t>
      </w:r>
    </w:p>
    <w:p w14:paraId="60722345" w14:textId="77777777" w:rsidR="009F5E63" w:rsidRPr="001F7CE0" w:rsidRDefault="009F5E63" w:rsidP="009F5E63">
      <w:pPr>
        <w:pStyle w:val="BodyText"/>
        <w:spacing w:before="4"/>
      </w:pPr>
    </w:p>
    <w:p w14:paraId="15BFED3A" w14:textId="77777777" w:rsidR="009F5E63" w:rsidRPr="001F7CE0" w:rsidRDefault="009F5E63" w:rsidP="009F5E63">
      <w:pPr>
        <w:ind w:left="100"/>
        <w:rPr>
          <w:b/>
          <w:sz w:val="21"/>
        </w:rPr>
      </w:pPr>
      <w:r w:rsidRPr="001F7CE0">
        <w:rPr>
          <w:b/>
          <w:color w:val="231F20"/>
          <w:sz w:val="21"/>
        </w:rPr>
        <w:t>2021</w:t>
      </w:r>
      <w:r w:rsidRPr="001F7CE0">
        <w:rPr>
          <w:b/>
          <w:color w:val="231F20"/>
          <w:spacing w:val="22"/>
          <w:sz w:val="21"/>
        </w:rPr>
        <w:t xml:space="preserve"> </w:t>
      </w:r>
      <w:r w:rsidRPr="001F7CE0">
        <w:rPr>
          <w:b/>
          <w:color w:val="231F20"/>
          <w:sz w:val="21"/>
        </w:rPr>
        <w:t>International</w:t>
      </w:r>
      <w:r w:rsidRPr="001F7CE0">
        <w:rPr>
          <w:b/>
          <w:color w:val="231F20"/>
          <w:spacing w:val="22"/>
          <w:sz w:val="21"/>
        </w:rPr>
        <w:t xml:space="preserve"> </w:t>
      </w:r>
      <w:r w:rsidRPr="001F7CE0">
        <w:rPr>
          <w:b/>
          <w:color w:val="231F20"/>
          <w:sz w:val="21"/>
        </w:rPr>
        <w:t>Energy</w:t>
      </w:r>
      <w:r w:rsidRPr="001F7CE0">
        <w:rPr>
          <w:b/>
          <w:color w:val="231F20"/>
          <w:spacing w:val="23"/>
          <w:sz w:val="21"/>
        </w:rPr>
        <w:t xml:space="preserve"> </w:t>
      </w:r>
      <w:r w:rsidRPr="001F7CE0">
        <w:rPr>
          <w:b/>
          <w:color w:val="231F20"/>
          <w:sz w:val="21"/>
        </w:rPr>
        <w:t>Conservation</w:t>
      </w:r>
      <w:r w:rsidRPr="001F7CE0">
        <w:rPr>
          <w:b/>
          <w:color w:val="231F20"/>
          <w:spacing w:val="28"/>
          <w:sz w:val="21"/>
        </w:rPr>
        <w:t xml:space="preserve"> </w:t>
      </w:r>
      <w:r w:rsidRPr="001F7CE0">
        <w:rPr>
          <w:b/>
          <w:color w:val="231F20"/>
          <w:spacing w:val="-4"/>
          <w:sz w:val="21"/>
        </w:rPr>
        <w:t>Code</w:t>
      </w:r>
    </w:p>
    <w:p w14:paraId="7EFC97C4" w14:textId="77777777" w:rsidR="009F5E63" w:rsidRPr="001F7CE0" w:rsidRDefault="009F5E63" w:rsidP="009F5E63">
      <w:pPr>
        <w:pStyle w:val="BodyText"/>
        <w:spacing w:before="10"/>
        <w:rPr>
          <w:b/>
          <w:sz w:val="21"/>
        </w:rPr>
      </w:pPr>
    </w:p>
    <w:p w14:paraId="3B574845" w14:textId="77777777" w:rsidR="009F5E63" w:rsidRPr="001F7CE0" w:rsidRDefault="009F5E63" w:rsidP="009F5E63">
      <w:pPr>
        <w:pStyle w:val="Heading1"/>
      </w:pPr>
      <w:r w:rsidRPr="001F7CE0">
        <w:rPr>
          <w:color w:val="231F20"/>
          <w:spacing w:val="-2"/>
        </w:rPr>
        <w:t>Add</w:t>
      </w:r>
      <w:r w:rsidRPr="001F7CE0">
        <w:rPr>
          <w:color w:val="231F20"/>
          <w:spacing w:val="-8"/>
        </w:rPr>
        <w:t xml:space="preserve"> </w:t>
      </w:r>
      <w:r w:rsidRPr="001F7CE0">
        <w:rPr>
          <w:color w:val="231F20"/>
          <w:spacing w:val="-2"/>
        </w:rPr>
        <w:t>new</w:t>
      </w:r>
      <w:r w:rsidRPr="001F7CE0">
        <w:rPr>
          <w:color w:val="231F20"/>
          <w:spacing w:val="-7"/>
        </w:rPr>
        <w:t xml:space="preserve"> </w:t>
      </w:r>
      <w:r w:rsidRPr="001F7CE0">
        <w:rPr>
          <w:color w:val="231F20"/>
          <w:spacing w:val="-2"/>
        </w:rPr>
        <w:t>definition</w:t>
      </w:r>
      <w:r w:rsidRPr="001F7CE0">
        <w:rPr>
          <w:color w:val="231F20"/>
          <w:spacing w:val="-7"/>
        </w:rPr>
        <w:t xml:space="preserve"> </w:t>
      </w:r>
      <w:r w:rsidRPr="001F7CE0">
        <w:rPr>
          <w:color w:val="231F20"/>
          <w:spacing w:val="-2"/>
        </w:rPr>
        <w:t>as</w:t>
      </w:r>
      <w:r w:rsidRPr="001F7CE0">
        <w:rPr>
          <w:color w:val="231F20"/>
          <w:spacing w:val="3"/>
        </w:rPr>
        <w:t xml:space="preserve"> </w:t>
      </w:r>
      <w:r w:rsidRPr="001F7CE0">
        <w:rPr>
          <w:color w:val="231F20"/>
          <w:spacing w:val="-2"/>
        </w:rPr>
        <w:t>follows:</w:t>
      </w:r>
    </w:p>
    <w:p w14:paraId="1E7C4188" w14:textId="77777777" w:rsidR="009F5E63" w:rsidRPr="001F7CE0" w:rsidRDefault="009F5E63" w:rsidP="009F5E63">
      <w:pPr>
        <w:pStyle w:val="BodyText"/>
        <w:spacing w:line="278" w:lineRule="auto"/>
        <w:ind w:left="100"/>
        <w:rPr>
          <w:u w:val="single" w:color="231F20"/>
        </w:rPr>
      </w:pPr>
    </w:p>
    <w:p w14:paraId="1FEAB64E" w14:textId="77777777" w:rsidR="009F5E63" w:rsidRPr="001F7CE0" w:rsidRDefault="009F5E63" w:rsidP="009F5E63">
      <w:pPr>
        <w:pStyle w:val="BodyText"/>
        <w:spacing w:line="278" w:lineRule="auto"/>
        <w:ind w:left="100"/>
        <w:rPr>
          <w:u w:val="single"/>
        </w:rPr>
      </w:pPr>
      <w:r w:rsidRPr="001F7CE0">
        <w:rPr>
          <w:u w:val="single"/>
        </w:rPr>
        <w:t xml:space="preserve">DEMAND RESPONSE SIGNAL. A signal that indicates a price or a request to modify electricity consumption for a limited time period. </w:t>
      </w:r>
    </w:p>
    <w:p w14:paraId="0A609526" w14:textId="77777777" w:rsidR="009F5E63" w:rsidRPr="001F7CE0" w:rsidRDefault="009F5E63" w:rsidP="009F5E63">
      <w:pPr>
        <w:pStyle w:val="BodyText"/>
        <w:spacing w:line="278" w:lineRule="auto"/>
        <w:ind w:left="100"/>
        <w:rPr>
          <w:u w:val="single"/>
        </w:rPr>
      </w:pPr>
    </w:p>
    <w:p w14:paraId="364678DF" w14:textId="77777777" w:rsidR="009F5E63" w:rsidRPr="001F7CE0" w:rsidRDefault="009F5E63" w:rsidP="009F5E63">
      <w:pPr>
        <w:pStyle w:val="BodyText"/>
        <w:spacing w:line="278" w:lineRule="auto"/>
        <w:ind w:left="100"/>
        <w:rPr>
          <w:u w:val="single"/>
        </w:rPr>
      </w:pPr>
      <w:r w:rsidRPr="001F7CE0">
        <w:rPr>
          <w:u w:val="single"/>
        </w:rPr>
        <w:t>DEMAND RESPONSIVE CONTROL. A control capable of receiving and automatically responding to a demand response signal.</w:t>
      </w:r>
    </w:p>
    <w:p w14:paraId="4897C0FA" w14:textId="77777777" w:rsidR="009F5E63" w:rsidRPr="001F7CE0" w:rsidRDefault="009F5E63" w:rsidP="009F5E63">
      <w:pPr>
        <w:pStyle w:val="BodyText"/>
        <w:spacing w:before="8"/>
        <w:rPr>
          <w:sz w:val="9"/>
        </w:rPr>
      </w:pPr>
    </w:p>
    <w:p w14:paraId="00D318FB" w14:textId="77777777" w:rsidR="009F5E63" w:rsidRPr="001F7CE0" w:rsidRDefault="009F5E63" w:rsidP="009F5E63">
      <w:pPr>
        <w:pStyle w:val="Heading1"/>
        <w:spacing w:before="69"/>
      </w:pPr>
      <w:r w:rsidRPr="001F7CE0">
        <w:rPr>
          <w:color w:val="231F20"/>
        </w:rPr>
        <w:t>Add</w:t>
      </w:r>
      <w:r w:rsidRPr="001F7CE0">
        <w:rPr>
          <w:color w:val="231F20"/>
          <w:spacing w:val="-8"/>
        </w:rPr>
        <w:t xml:space="preserve"> </w:t>
      </w:r>
      <w:r w:rsidRPr="001F7CE0">
        <w:rPr>
          <w:color w:val="231F20"/>
        </w:rPr>
        <w:t>new</w:t>
      </w:r>
      <w:r w:rsidRPr="001F7CE0">
        <w:rPr>
          <w:color w:val="231F20"/>
          <w:spacing w:val="-8"/>
        </w:rPr>
        <w:t xml:space="preserve"> </w:t>
      </w:r>
      <w:r w:rsidRPr="001F7CE0">
        <w:rPr>
          <w:color w:val="231F20"/>
        </w:rPr>
        <w:t>text</w:t>
      </w:r>
      <w:r w:rsidRPr="001F7CE0">
        <w:rPr>
          <w:color w:val="231F20"/>
          <w:spacing w:val="-2"/>
        </w:rPr>
        <w:t xml:space="preserve"> </w:t>
      </w:r>
      <w:r w:rsidRPr="001F7CE0">
        <w:rPr>
          <w:color w:val="231F20"/>
        </w:rPr>
        <w:t>as</w:t>
      </w:r>
      <w:r w:rsidRPr="001F7CE0">
        <w:rPr>
          <w:color w:val="231F20"/>
          <w:spacing w:val="2"/>
        </w:rPr>
        <w:t xml:space="preserve"> </w:t>
      </w:r>
      <w:r w:rsidRPr="001F7CE0">
        <w:rPr>
          <w:color w:val="231F20"/>
          <w:spacing w:val="-2"/>
        </w:rPr>
        <w:t>follows:</w:t>
      </w:r>
    </w:p>
    <w:p w14:paraId="3D7206B6" w14:textId="77777777" w:rsidR="009F5E63" w:rsidRPr="001F7CE0" w:rsidRDefault="009F5E63" w:rsidP="009F5E63">
      <w:pPr>
        <w:pStyle w:val="Heading1"/>
        <w:spacing w:before="150"/>
        <w:rPr>
          <w:b w:val="0"/>
          <w:bCs w:val="0"/>
          <w:color w:val="231F20"/>
          <w:u w:val="single" w:color="231F20"/>
        </w:rPr>
      </w:pPr>
      <w:r w:rsidRPr="001F7CE0">
        <w:rPr>
          <w:b w:val="0"/>
          <w:bCs w:val="0"/>
          <w:color w:val="231F20"/>
          <w:u w:val="single" w:color="231F20"/>
        </w:rPr>
        <w:t>Add new text as follows:</w:t>
      </w:r>
      <w:r w:rsidRPr="001F7CE0">
        <w:rPr>
          <w:b w:val="0"/>
          <w:bCs w:val="0"/>
          <w:color w:val="231F20"/>
          <w:u w:val="single" w:color="231F20"/>
        </w:rPr>
        <w:br/>
        <w:t>C403.4.1.6 Demand Responsive Controls.</w:t>
      </w:r>
      <w:r w:rsidRPr="001F7CE0">
        <w:rPr>
          <w:b w:val="0"/>
          <w:bCs w:val="0"/>
          <w:color w:val="231F20"/>
          <w:u w:val="single" w:color="231F20"/>
        </w:rPr>
        <w:br/>
        <w:t>All thermostatic controls shall be provided with demand responsive controls capable of the following:</w:t>
      </w:r>
    </w:p>
    <w:p w14:paraId="5A78506E" w14:textId="77777777" w:rsidR="009F5E63" w:rsidRPr="001F7CE0" w:rsidRDefault="009F5E63" w:rsidP="009F5E63">
      <w:pPr>
        <w:pStyle w:val="Heading1"/>
        <w:numPr>
          <w:ilvl w:val="0"/>
          <w:numId w:val="9"/>
        </w:numPr>
        <w:spacing w:before="150"/>
        <w:ind w:left="720"/>
        <w:rPr>
          <w:b w:val="0"/>
          <w:bCs w:val="0"/>
          <w:strike/>
          <w:color w:val="231F20"/>
          <w:u w:val="single" w:color="231F20"/>
        </w:rPr>
      </w:pPr>
      <w:r w:rsidRPr="001F7CE0">
        <w:rPr>
          <w:b w:val="0"/>
          <w:bCs w:val="0"/>
          <w:color w:val="231F20"/>
          <w:u w:val="single" w:color="231F20"/>
        </w:rPr>
        <w:t>Automatically increasing the zone operating cooling set point by a minimum of 4°F (2.2°C)</w:t>
      </w:r>
    </w:p>
    <w:p w14:paraId="54B268DF" w14:textId="77777777" w:rsidR="009F5E63" w:rsidRPr="001F7CE0" w:rsidRDefault="009F5E63" w:rsidP="009F5E63">
      <w:pPr>
        <w:pStyle w:val="Heading1"/>
        <w:numPr>
          <w:ilvl w:val="0"/>
          <w:numId w:val="9"/>
        </w:numPr>
        <w:spacing w:before="150"/>
        <w:ind w:left="720"/>
        <w:rPr>
          <w:b w:val="0"/>
          <w:bCs w:val="0"/>
          <w:strike/>
          <w:color w:val="231F20"/>
          <w:u w:val="single" w:color="231F20"/>
        </w:rPr>
      </w:pPr>
      <w:r w:rsidRPr="001F7CE0">
        <w:rPr>
          <w:b w:val="0"/>
          <w:bCs w:val="0"/>
          <w:color w:val="231F20"/>
          <w:u w:val="single" w:color="231F20"/>
        </w:rPr>
        <w:t>Automatically decreasing the zone operating heating set point by a minimum of 4°F (2.2°C)</w:t>
      </w:r>
    </w:p>
    <w:p w14:paraId="5B6E15D7" w14:textId="77777777" w:rsidR="009F5E63" w:rsidRPr="001F7CE0" w:rsidRDefault="009F5E63" w:rsidP="009F5E63">
      <w:pPr>
        <w:pStyle w:val="BodyText"/>
        <w:spacing w:before="4"/>
        <w:rPr>
          <w:color w:val="231F20"/>
          <w:u w:val="single" w:color="231F20"/>
        </w:rPr>
      </w:pPr>
    </w:p>
    <w:p w14:paraId="2948C95A" w14:textId="77777777" w:rsidR="009F5E63" w:rsidRPr="001F7CE0" w:rsidRDefault="009F5E63" w:rsidP="009F5E63">
      <w:pPr>
        <w:pStyle w:val="BodyText"/>
        <w:spacing w:before="4"/>
        <w:rPr>
          <w:color w:val="231F20"/>
          <w:u w:val="single" w:color="231F20"/>
        </w:rPr>
      </w:pPr>
      <w:r w:rsidRPr="001F7CE0">
        <w:rPr>
          <w:color w:val="231F20"/>
          <w:u w:val="single" w:color="231F20"/>
        </w:rPr>
        <w:t>Demand responsive controls shall comply with the following:</w:t>
      </w:r>
    </w:p>
    <w:p w14:paraId="686138EA" w14:textId="77777777" w:rsidR="009F5E63" w:rsidRPr="001F7CE0" w:rsidRDefault="009F5E63" w:rsidP="009F5E63">
      <w:pPr>
        <w:pStyle w:val="ListParagraph"/>
        <w:numPr>
          <w:ilvl w:val="0"/>
          <w:numId w:val="8"/>
        </w:numPr>
        <w:spacing w:before="91"/>
        <w:rPr>
          <w:color w:val="231F20"/>
          <w:sz w:val="18"/>
          <w:szCs w:val="18"/>
          <w:u w:val="single" w:color="231F20"/>
        </w:rPr>
      </w:pPr>
      <w:r w:rsidRPr="001F7CE0">
        <w:rPr>
          <w:color w:val="231F20"/>
          <w:sz w:val="18"/>
          <w:szCs w:val="18"/>
          <w:u w:val="single" w:color="231F20"/>
        </w:rPr>
        <w:t>All demand responsive controls shall comply with no less than one of the following:</w:t>
      </w:r>
    </w:p>
    <w:p w14:paraId="74D16430" w14:textId="77777777" w:rsidR="009F5E63" w:rsidRPr="001F7CE0" w:rsidRDefault="009F5E63" w:rsidP="009F5E63">
      <w:pPr>
        <w:pStyle w:val="ListParagraph"/>
        <w:numPr>
          <w:ilvl w:val="1"/>
          <w:numId w:val="6"/>
        </w:numPr>
        <w:tabs>
          <w:tab w:val="left" w:pos="650"/>
        </w:tabs>
        <w:spacing w:before="77"/>
        <w:ind w:left="1260"/>
        <w:rPr>
          <w:color w:val="231F20"/>
          <w:sz w:val="18"/>
          <w:szCs w:val="18"/>
          <w:u w:val="single" w:color="231F20"/>
        </w:rPr>
      </w:pPr>
      <w:r w:rsidRPr="001F7CE0">
        <w:rPr>
          <w:color w:val="231F20"/>
          <w:sz w:val="18"/>
          <w:szCs w:val="18"/>
          <w:u w:val="single" w:color="231F20"/>
        </w:rPr>
        <w:t xml:space="preserve">A certified </w:t>
      </w:r>
      <w:proofErr w:type="spellStart"/>
      <w:r w:rsidRPr="001F7CE0">
        <w:rPr>
          <w:color w:val="231F20"/>
          <w:sz w:val="18"/>
          <w:szCs w:val="18"/>
          <w:u w:val="single" w:color="231F20"/>
        </w:rPr>
        <w:t>OpenADR</w:t>
      </w:r>
      <w:proofErr w:type="spellEnd"/>
      <w:r w:rsidRPr="001F7CE0">
        <w:rPr>
          <w:color w:val="231F20"/>
          <w:sz w:val="18"/>
          <w:szCs w:val="18"/>
          <w:u w:val="single" w:color="231F20"/>
        </w:rPr>
        <w:t xml:space="preserve"> 2.0a or </w:t>
      </w:r>
      <w:proofErr w:type="spellStart"/>
      <w:r w:rsidRPr="001F7CE0">
        <w:rPr>
          <w:color w:val="231F20"/>
          <w:sz w:val="18"/>
          <w:szCs w:val="18"/>
          <w:u w:val="single" w:color="231F20"/>
        </w:rPr>
        <w:t>OpenADR</w:t>
      </w:r>
      <w:proofErr w:type="spellEnd"/>
      <w:r w:rsidRPr="001F7CE0">
        <w:rPr>
          <w:color w:val="231F20"/>
          <w:sz w:val="18"/>
          <w:szCs w:val="18"/>
          <w:u w:val="single" w:color="231F20"/>
        </w:rPr>
        <w:t xml:space="preserve"> 2.0b Virtual End Node (VEN), as specified under Clause 11, Conformance, in the applicable </w:t>
      </w:r>
      <w:proofErr w:type="spellStart"/>
      <w:r w:rsidRPr="001F7CE0">
        <w:rPr>
          <w:color w:val="231F20"/>
          <w:sz w:val="18"/>
          <w:szCs w:val="18"/>
          <w:u w:val="single" w:color="231F20"/>
        </w:rPr>
        <w:t>OpenADR</w:t>
      </w:r>
      <w:proofErr w:type="spellEnd"/>
      <w:r w:rsidRPr="001F7CE0">
        <w:rPr>
          <w:color w:val="231F20"/>
          <w:sz w:val="18"/>
          <w:szCs w:val="18"/>
          <w:u w:val="single" w:color="231F20"/>
        </w:rPr>
        <w:t xml:space="preserve"> 2.0 Specification, or</w:t>
      </w:r>
    </w:p>
    <w:p w14:paraId="1FFD76F5" w14:textId="77777777" w:rsidR="009F5E63" w:rsidRPr="001F7CE0" w:rsidRDefault="009F5E63" w:rsidP="009F5E63">
      <w:pPr>
        <w:pStyle w:val="ListParagraph"/>
        <w:numPr>
          <w:ilvl w:val="1"/>
          <w:numId w:val="6"/>
        </w:numPr>
        <w:tabs>
          <w:tab w:val="left" w:pos="650"/>
        </w:tabs>
        <w:spacing w:before="77"/>
        <w:ind w:left="1260"/>
        <w:rPr>
          <w:color w:val="231F20"/>
          <w:sz w:val="18"/>
          <w:szCs w:val="18"/>
          <w:u w:val="single" w:color="231F20"/>
        </w:rPr>
      </w:pPr>
      <w:r w:rsidRPr="001F7CE0">
        <w:rPr>
          <w:color w:val="231F20"/>
          <w:sz w:val="18"/>
          <w:szCs w:val="18"/>
          <w:u w:val="single" w:color="231F20"/>
        </w:rPr>
        <w:t xml:space="preserve">Certified by the manufacturer as being capable of responding to a demand response signal from a certified </w:t>
      </w:r>
      <w:proofErr w:type="spellStart"/>
      <w:r w:rsidRPr="001F7CE0">
        <w:rPr>
          <w:color w:val="231F20"/>
          <w:sz w:val="18"/>
          <w:szCs w:val="18"/>
          <w:u w:val="single" w:color="231F20"/>
        </w:rPr>
        <w:t>OpenADR</w:t>
      </w:r>
      <w:proofErr w:type="spellEnd"/>
      <w:r w:rsidRPr="001F7CE0">
        <w:rPr>
          <w:color w:val="231F20"/>
          <w:sz w:val="18"/>
          <w:szCs w:val="18"/>
          <w:u w:val="single" w:color="231F20"/>
        </w:rPr>
        <w:t xml:space="preserve"> 2.0b Virtual End Node by automatically implementing the control functions requested by the Virtual End Node for the equipment it controls, or</w:t>
      </w:r>
    </w:p>
    <w:p w14:paraId="59C94FAC" w14:textId="77777777" w:rsidR="009F5E63" w:rsidRPr="001F7CE0" w:rsidRDefault="009F5E63" w:rsidP="009F5E63">
      <w:pPr>
        <w:pStyle w:val="ListParagraph"/>
        <w:numPr>
          <w:ilvl w:val="1"/>
          <w:numId w:val="6"/>
        </w:numPr>
        <w:tabs>
          <w:tab w:val="left" w:pos="650"/>
        </w:tabs>
        <w:spacing w:before="77"/>
        <w:ind w:left="1260"/>
        <w:rPr>
          <w:color w:val="231F20"/>
          <w:sz w:val="18"/>
          <w:szCs w:val="18"/>
          <w:u w:val="single" w:color="231F20"/>
        </w:rPr>
      </w:pPr>
      <w:r w:rsidRPr="001F7CE0">
        <w:rPr>
          <w:color w:val="231F20"/>
          <w:sz w:val="18"/>
          <w:szCs w:val="18"/>
          <w:u w:val="single" w:color="231F20"/>
        </w:rPr>
        <w:t>Comply with IEC 62746-10-1, an international standard for the open automated demand response system interface between the smart appliance, system, or energy management system and the controlling entity, such as a utility or service provider, or</w:t>
      </w:r>
    </w:p>
    <w:p w14:paraId="1B025BF1" w14:textId="77777777" w:rsidR="009F5E63" w:rsidRPr="001F7CE0" w:rsidRDefault="009F5E63" w:rsidP="009F5E63">
      <w:pPr>
        <w:pStyle w:val="ListParagraph"/>
        <w:numPr>
          <w:ilvl w:val="1"/>
          <w:numId w:val="6"/>
        </w:numPr>
        <w:tabs>
          <w:tab w:val="left" w:pos="650"/>
        </w:tabs>
        <w:spacing w:before="77"/>
        <w:ind w:left="1260"/>
        <w:rPr>
          <w:color w:val="231F20"/>
          <w:sz w:val="18"/>
          <w:szCs w:val="18"/>
          <w:u w:val="single" w:color="231F20"/>
        </w:rPr>
      </w:pPr>
      <w:r w:rsidRPr="001F7CE0">
        <w:rPr>
          <w:color w:val="231F20"/>
          <w:sz w:val="18"/>
          <w:szCs w:val="18"/>
          <w:u w:val="single" w:color="231F20"/>
        </w:rPr>
        <w:t>Comply with the communication protocol required by a controlling entity, such as a utility or service provider, to participate in an automated demand response program.</w:t>
      </w:r>
    </w:p>
    <w:p w14:paraId="448DF9F4" w14:textId="77777777" w:rsidR="009F5E63" w:rsidRPr="001F7CE0" w:rsidRDefault="009F5E63" w:rsidP="009F5E63">
      <w:pPr>
        <w:pStyle w:val="ListParagraph"/>
        <w:numPr>
          <w:ilvl w:val="1"/>
          <w:numId w:val="6"/>
        </w:numPr>
        <w:tabs>
          <w:tab w:val="left" w:pos="650"/>
        </w:tabs>
        <w:spacing w:before="77"/>
        <w:ind w:left="1260"/>
        <w:rPr>
          <w:color w:val="231F20"/>
          <w:sz w:val="18"/>
          <w:szCs w:val="18"/>
          <w:u w:val="single" w:color="231F20"/>
        </w:rPr>
      </w:pPr>
      <w:r w:rsidRPr="001F7CE0">
        <w:rPr>
          <w:color w:val="231F20"/>
          <w:sz w:val="18"/>
          <w:szCs w:val="18"/>
          <w:u w:val="single" w:color="231F20"/>
        </w:rPr>
        <w:t>Comply with the physical configuration and communication protocol required by CTA 2045-A.</w:t>
      </w:r>
    </w:p>
    <w:p w14:paraId="15BAD179" w14:textId="77777777" w:rsidR="009F5E63" w:rsidRPr="001F7CE0" w:rsidRDefault="009F5E63" w:rsidP="009F5E63">
      <w:pPr>
        <w:pStyle w:val="ListParagraph"/>
        <w:numPr>
          <w:ilvl w:val="0"/>
          <w:numId w:val="7"/>
        </w:numPr>
        <w:tabs>
          <w:tab w:val="left" w:pos="650"/>
        </w:tabs>
        <w:spacing w:before="77" w:line="292" w:lineRule="auto"/>
        <w:ind w:right="437"/>
        <w:rPr>
          <w:color w:val="231F20"/>
          <w:sz w:val="18"/>
          <w:szCs w:val="18"/>
          <w:u w:val="single" w:color="231F20"/>
        </w:rPr>
      </w:pPr>
      <w:r w:rsidRPr="001F7CE0">
        <w:rPr>
          <w:color w:val="231F20"/>
          <w:sz w:val="18"/>
          <w:szCs w:val="18"/>
          <w:u w:val="single" w:color="231F20"/>
        </w:rPr>
        <w:t>All demand responsive controls shall be capable of communicating to the VEN using one or more of the following: Wi-Fi, ZigBee, BACnet, Ethernet, or hard-wiring any other bi-directional communication pathway.</w:t>
      </w:r>
    </w:p>
    <w:p w14:paraId="3B02BB8A" w14:textId="77777777" w:rsidR="009F5E63" w:rsidRPr="001F7CE0" w:rsidRDefault="009F5E63" w:rsidP="009F5E63">
      <w:pPr>
        <w:pStyle w:val="ListParagraph"/>
        <w:numPr>
          <w:ilvl w:val="0"/>
          <w:numId w:val="7"/>
        </w:numPr>
        <w:tabs>
          <w:tab w:val="left" w:pos="650"/>
        </w:tabs>
        <w:spacing w:before="77" w:line="292" w:lineRule="auto"/>
        <w:ind w:right="437"/>
        <w:rPr>
          <w:color w:val="231F20"/>
          <w:sz w:val="18"/>
          <w:szCs w:val="18"/>
          <w:u w:val="single" w:color="231F20"/>
        </w:rPr>
      </w:pPr>
      <w:r w:rsidRPr="001F7CE0">
        <w:rPr>
          <w:color w:val="231F20"/>
          <w:sz w:val="18"/>
          <w:szCs w:val="18"/>
          <w:u w:val="single" w:color="231F20"/>
        </w:rPr>
        <w:t>When communications are disabled or unavailable, all demand responsive controls shall continue to perform all other control functions provided by the control.</w:t>
      </w:r>
    </w:p>
    <w:p w14:paraId="72E179E4" w14:textId="77777777" w:rsidR="009F5E63" w:rsidRPr="001F7CE0" w:rsidRDefault="009F5E63" w:rsidP="009F5E63">
      <w:pPr>
        <w:ind w:left="90"/>
        <w:rPr>
          <w:color w:val="231F20"/>
          <w:sz w:val="18"/>
          <w:szCs w:val="18"/>
          <w:u w:val="single" w:color="231F20"/>
        </w:rPr>
      </w:pPr>
      <w:r w:rsidRPr="001F7CE0">
        <w:rPr>
          <w:u w:color="231F20"/>
        </w:rPr>
        <w:br/>
      </w:r>
      <w:r w:rsidRPr="001F7CE0">
        <w:rPr>
          <w:b/>
          <w:bCs/>
          <w:color w:val="231F20"/>
          <w:sz w:val="18"/>
          <w:szCs w:val="18"/>
          <w:u w:val="single" w:color="231F20"/>
        </w:rPr>
        <w:t>Exception:</w:t>
      </w:r>
      <w:r w:rsidRPr="001F7CE0">
        <w:rPr>
          <w:color w:val="231F20"/>
          <w:sz w:val="18"/>
          <w:szCs w:val="18"/>
          <w:u w:val="single" w:color="231F20"/>
        </w:rPr>
        <w:t xml:space="preserve"> Health care; assisted living facilities; data centers; mission critical spaces; industrial and process spaces; and buildings with energy management systems that meet the intent of this section.</w:t>
      </w:r>
    </w:p>
    <w:p w14:paraId="4F0E1B16" w14:textId="77777777" w:rsidR="009F5E63" w:rsidRPr="001F7CE0" w:rsidRDefault="009F5E63" w:rsidP="009F5E63">
      <w:pPr>
        <w:ind w:left="90"/>
        <w:rPr>
          <w:color w:val="231F20"/>
          <w:sz w:val="18"/>
          <w:szCs w:val="18"/>
          <w:u w:val="single" w:color="231F20"/>
        </w:rPr>
      </w:pPr>
    </w:p>
    <w:p w14:paraId="6B31ED30" w14:textId="77777777" w:rsidR="009F5E63" w:rsidRPr="001F7CE0" w:rsidRDefault="009F5E63" w:rsidP="009F5E63">
      <w:pPr>
        <w:pStyle w:val="BodyText"/>
        <w:ind w:left="90"/>
        <w:rPr>
          <w:b/>
          <w:bCs/>
          <w:u w:val="single"/>
        </w:rPr>
      </w:pPr>
      <w:r w:rsidRPr="001F7CE0">
        <w:rPr>
          <w:b/>
          <w:bCs/>
          <w:u w:val="single"/>
        </w:rPr>
        <w:t xml:space="preserve">Variable capacity HVAC less than 5 tons: </w:t>
      </w:r>
      <w:r w:rsidRPr="001F7CE0">
        <w:rPr>
          <w:u w:val="single"/>
        </w:rPr>
        <w:t>Variable capacity HVAC systems may alternately comply with AHRI 1380.</w:t>
      </w:r>
    </w:p>
    <w:p w14:paraId="75652E3D" w14:textId="77777777" w:rsidR="009F5E63" w:rsidRPr="001F7CE0" w:rsidRDefault="009F5E63" w:rsidP="009F5E63">
      <w:pPr>
        <w:pStyle w:val="BodyText"/>
        <w:ind w:left="90"/>
        <w:rPr>
          <w:b/>
          <w:bCs/>
          <w:u w:val="single"/>
        </w:rPr>
      </w:pPr>
    </w:p>
    <w:p w14:paraId="45ABD844" w14:textId="77777777" w:rsidR="009F5E63" w:rsidRPr="001F7CE0" w:rsidRDefault="009F5E63" w:rsidP="009F5E63">
      <w:pPr>
        <w:pStyle w:val="BodyText"/>
        <w:ind w:left="90"/>
        <w:rPr>
          <w:b/>
          <w:bCs/>
        </w:rPr>
      </w:pPr>
      <w:r w:rsidRPr="001F7CE0">
        <w:rPr>
          <w:b/>
          <w:bCs/>
        </w:rPr>
        <w:t>Add new standard(s) as follows:</w:t>
      </w:r>
    </w:p>
    <w:p w14:paraId="6C947727" w14:textId="77777777" w:rsidR="009F5E63" w:rsidRPr="001F7CE0" w:rsidRDefault="009F5E63" w:rsidP="009F5E63">
      <w:pPr>
        <w:pStyle w:val="BodyText"/>
        <w:ind w:left="90"/>
        <w:rPr>
          <w:u w:val="single"/>
        </w:rPr>
      </w:pPr>
      <w:r w:rsidRPr="001F7CE0">
        <w:rPr>
          <w:u w:val="single"/>
        </w:rPr>
        <w:t xml:space="preserve">Chapter 6 Referenced Standards New </w:t>
      </w:r>
    </w:p>
    <w:p w14:paraId="16ABF3D4" w14:textId="77777777" w:rsidR="009F5E63" w:rsidRPr="001F7CE0" w:rsidRDefault="009F5E63" w:rsidP="009F5E63">
      <w:pPr>
        <w:pStyle w:val="BodyText"/>
        <w:ind w:left="90"/>
        <w:rPr>
          <w:u w:val="single"/>
        </w:rPr>
      </w:pPr>
    </w:p>
    <w:p w14:paraId="5DB5CBC7" w14:textId="77777777" w:rsidR="009F5E63" w:rsidRPr="001F7CE0" w:rsidRDefault="009F5E63" w:rsidP="009F5E63">
      <w:pPr>
        <w:pStyle w:val="BodyText"/>
        <w:ind w:left="90"/>
        <w:rPr>
          <w:u w:val="single"/>
        </w:rPr>
      </w:pPr>
      <w:r w:rsidRPr="001F7CE0">
        <w:rPr>
          <w:u w:val="single"/>
        </w:rPr>
        <w:t xml:space="preserve">CTA </w:t>
      </w:r>
    </w:p>
    <w:p w14:paraId="2257813D" w14:textId="77777777" w:rsidR="009F5E63" w:rsidRPr="001F7CE0" w:rsidRDefault="009F5E63" w:rsidP="009F5E63">
      <w:pPr>
        <w:pStyle w:val="BodyText"/>
        <w:ind w:left="90"/>
        <w:rPr>
          <w:u w:val="single"/>
        </w:rPr>
      </w:pPr>
    </w:p>
    <w:p w14:paraId="1205C2E0" w14:textId="77777777" w:rsidR="009F5E63" w:rsidRPr="001F7CE0" w:rsidRDefault="009F5E63" w:rsidP="009F5E63">
      <w:pPr>
        <w:pStyle w:val="BodyText"/>
        <w:ind w:left="90"/>
        <w:rPr>
          <w:u w:val="single"/>
        </w:rPr>
      </w:pPr>
      <w:r w:rsidRPr="001F7CE0">
        <w:rPr>
          <w:u w:val="single"/>
        </w:rPr>
        <w:t>Consumer Technology Association Technology &amp; Standards Department</w:t>
      </w:r>
    </w:p>
    <w:p w14:paraId="0211CA52" w14:textId="77777777" w:rsidR="009F5E63" w:rsidRPr="001F7CE0" w:rsidRDefault="009F5E63" w:rsidP="009F5E63">
      <w:pPr>
        <w:pStyle w:val="BodyText"/>
        <w:ind w:left="90"/>
        <w:rPr>
          <w:u w:val="single"/>
        </w:rPr>
      </w:pPr>
      <w:r w:rsidRPr="001F7CE0">
        <w:rPr>
          <w:u w:val="single"/>
        </w:rPr>
        <w:t>1919 S Eads Street</w:t>
      </w:r>
    </w:p>
    <w:p w14:paraId="7F8B4F14" w14:textId="77777777" w:rsidR="009F5E63" w:rsidRPr="001F7CE0" w:rsidRDefault="009F5E63" w:rsidP="009F5E63">
      <w:pPr>
        <w:pStyle w:val="BodyText"/>
        <w:ind w:left="90"/>
        <w:rPr>
          <w:u w:val="single"/>
        </w:rPr>
      </w:pPr>
      <w:r w:rsidRPr="001F7CE0">
        <w:rPr>
          <w:u w:val="single"/>
        </w:rPr>
        <w:t>Arlington, VA 22202</w:t>
      </w:r>
    </w:p>
    <w:p w14:paraId="1E65A150" w14:textId="77777777" w:rsidR="009F5E63" w:rsidRPr="001F7CE0" w:rsidRDefault="009F5E63" w:rsidP="009F5E63">
      <w:pPr>
        <w:pStyle w:val="BodyText"/>
        <w:ind w:left="90"/>
        <w:rPr>
          <w:u w:val="single"/>
        </w:rPr>
      </w:pPr>
      <w:r w:rsidRPr="001F7CE0">
        <w:rPr>
          <w:u w:val="single"/>
        </w:rPr>
        <w:lastRenderedPageBreak/>
        <w:t>ANSI/CTA-2045-B – 2018: Modular Communications Interface for Energy Management</w:t>
      </w:r>
    </w:p>
    <w:p w14:paraId="3BEA4BF6" w14:textId="77777777" w:rsidR="009F5E63" w:rsidRPr="001F7CE0" w:rsidRDefault="009F5E63" w:rsidP="009F5E63">
      <w:pPr>
        <w:pStyle w:val="BodyText"/>
        <w:ind w:left="90"/>
        <w:rPr>
          <w:u w:val="single"/>
        </w:rPr>
      </w:pPr>
    </w:p>
    <w:p w14:paraId="2670E44D" w14:textId="77777777" w:rsidR="009F5E63" w:rsidRPr="001F7CE0" w:rsidRDefault="009F5E63" w:rsidP="009F5E63">
      <w:pPr>
        <w:pStyle w:val="BodyText"/>
        <w:ind w:left="90"/>
        <w:rPr>
          <w:u w:val="single"/>
        </w:rPr>
      </w:pPr>
    </w:p>
    <w:p w14:paraId="53F31FD5" w14:textId="77777777" w:rsidR="009F5E63" w:rsidRPr="001F7CE0" w:rsidRDefault="009F5E63" w:rsidP="009F5E63">
      <w:pPr>
        <w:pStyle w:val="BodyText"/>
        <w:ind w:left="90"/>
        <w:rPr>
          <w:u w:val="single"/>
        </w:rPr>
      </w:pPr>
      <w:r w:rsidRPr="001F7CE0">
        <w:rPr>
          <w:u w:val="single"/>
        </w:rPr>
        <w:t>IEC</w:t>
      </w:r>
    </w:p>
    <w:p w14:paraId="3119219F" w14:textId="77777777" w:rsidR="009F5E63" w:rsidRPr="001F7CE0" w:rsidRDefault="009F5E63" w:rsidP="009F5E63">
      <w:pPr>
        <w:pStyle w:val="BodyText"/>
        <w:ind w:left="90"/>
        <w:rPr>
          <w:u w:val="single"/>
        </w:rPr>
      </w:pPr>
    </w:p>
    <w:p w14:paraId="2C2B922D" w14:textId="77777777" w:rsidR="009F5E63" w:rsidRPr="001F7CE0" w:rsidRDefault="009F5E63" w:rsidP="009F5E63">
      <w:pPr>
        <w:pStyle w:val="BodyText"/>
        <w:ind w:left="90"/>
        <w:rPr>
          <w:u w:val="single"/>
        </w:rPr>
      </w:pPr>
      <w:r w:rsidRPr="001F7CE0">
        <w:rPr>
          <w:u w:val="single"/>
        </w:rPr>
        <w:t>IEC Regional Centre for North America</w:t>
      </w:r>
    </w:p>
    <w:p w14:paraId="1E9391C8" w14:textId="77777777" w:rsidR="009F5E63" w:rsidRPr="001F7CE0" w:rsidRDefault="009F5E63" w:rsidP="009F5E63">
      <w:pPr>
        <w:pStyle w:val="BodyText"/>
        <w:ind w:left="90"/>
        <w:rPr>
          <w:u w:val="single"/>
        </w:rPr>
      </w:pPr>
      <w:r w:rsidRPr="001F7CE0">
        <w:rPr>
          <w:u w:val="single"/>
        </w:rPr>
        <w:t>446 Main Street 16th Floor</w:t>
      </w:r>
    </w:p>
    <w:p w14:paraId="1E4C596F" w14:textId="77777777" w:rsidR="009F5E63" w:rsidRPr="001F7CE0" w:rsidRDefault="009F5E63" w:rsidP="009F5E63">
      <w:pPr>
        <w:pStyle w:val="BodyText"/>
        <w:ind w:left="90"/>
        <w:rPr>
          <w:u w:val="single"/>
        </w:rPr>
      </w:pPr>
      <w:r w:rsidRPr="001F7CE0">
        <w:rPr>
          <w:u w:val="single"/>
        </w:rPr>
        <w:t>Worcester, MA 01608</w:t>
      </w:r>
    </w:p>
    <w:p w14:paraId="720FBE81" w14:textId="77777777" w:rsidR="009F5E63" w:rsidRPr="001F7CE0" w:rsidRDefault="009F5E63" w:rsidP="009F5E63">
      <w:pPr>
        <w:pStyle w:val="BodyText"/>
        <w:ind w:left="90"/>
        <w:rPr>
          <w:u w:val="single"/>
        </w:rPr>
      </w:pPr>
      <w:r w:rsidRPr="001F7CE0">
        <w:rPr>
          <w:u w:val="single"/>
        </w:rPr>
        <w:t>IEC 62746-10-1 - 2018 Systems interface between customer energy management system and the power management system - Part 10-1: Open automated demand response</w:t>
      </w:r>
    </w:p>
    <w:p w14:paraId="610C4A21" w14:textId="77777777" w:rsidR="009F5E63" w:rsidRPr="001F7CE0" w:rsidRDefault="009F5E63" w:rsidP="009F5E63">
      <w:pPr>
        <w:pStyle w:val="BodyText"/>
        <w:ind w:left="90"/>
        <w:rPr>
          <w:u w:val="single"/>
        </w:rPr>
      </w:pPr>
    </w:p>
    <w:p w14:paraId="2F84CA27" w14:textId="77777777" w:rsidR="009F5E63" w:rsidRPr="001F7CE0" w:rsidRDefault="009F5E63" w:rsidP="009F5E63">
      <w:pPr>
        <w:pStyle w:val="BodyText"/>
        <w:ind w:left="90"/>
        <w:rPr>
          <w:u w:val="single"/>
        </w:rPr>
      </w:pPr>
    </w:p>
    <w:p w14:paraId="144BFECE" w14:textId="77777777" w:rsidR="009F5E63" w:rsidRPr="001F7CE0" w:rsidRDefault="009F5E63" w:rsidP="009F5E63">
      <w:pPr>
        <w:pStyle w:val="BodyText"/>
        <w:ind w:left="90"/>
        <w:rPr>
          <w:u w:val="single"/>
        </w:rPr>
      </w:pPr>
      <w:proofErr w:type="spellStart"/>
      <w:r w:rsidRPr="001F7CE0">
        <w:rPr>
          <w:u w:val="single"/>
        </w:rPr>
        <w:t>OpenADR</w:t>
      </w:r>
      <w:proofErr w:type="spellEnd"/>
    </w:p>
    <w:p w14:paraId="427AE6FF" w14:textId="77777777" w:rsidR="009F5E63" w:rsidRPr="001F7CE0" w:rsidRDefault="009F5E63" w:rsidP="009F5E63">
      <w:pPr>
        <w:pStyle w:val="BodyText"/>
        <w:ind w:left="90"/>
        <w:rPr>
          <w:u w:val="single"/>
        </w:rPr>
      </w:pPr>
    </w:p>
    <w:p w14:paraId="7FFCAD62" w14:textId="77777777" w:rsidR="009F5E63" w:rsidRPr="001F7CE0" w:rsidRDefault="009F5E63" w:rsidP="009F5E63">
      <w:pPr>
        <w:pStyle w:val="BodyText"/>
        <w:ind w:left="90"/>
        <w:rPr>
          <w:u w:val="single"/>
        </w:rPr>
      </w:pPr>
      <w:proofErr w:type="spellStart"/>
      <w:r w:rsidRPr="001F7CE0">
        <w:rPr>
          <w:u w:val="single"/>
        </w:rPr>
        <w:t>OpenADR</w:t>
      </w:r>
      <w:proofErr w:type="spellEnd"/>
      <w:r w:rsidRPr="001F7CE0">
        <w:rPr>
          <w:u w:val="single"/>
        </w:rPr>
        <w:t xml:space="preserve"> Alliance</w:t>
      </w:r>
    </w:p>
    <w:p w14:paraId="1B948642" w14:textId="77777777" w:rsidR="009F5E63" w:rsidRPr="001F7CE0" w:rsidRDefault="009F5E63" w:rsidP="009F5E63">
      <w:pPr>
        <w:pStyle w:val="BodyText"/>
        <w:ind w:left="90"/>
        <w:rPr>
          <w:u w:val="single"/>
        </w:rPr>
      </w:pPr>
      <w:r w:rsidRPr="001F7CE0">
        <w:rPr>
          <w:u w:val="single"/>
        </w:rPr>
        <w:t>111 Deerwood Road</w:t>
      </w:r>
    </w:p>
    <w:p w14:paraId="2BEF5CFB" w14:textId="77777777" w:rsidR="009F5E63" w:rsidRPr="001F7CE0" w:rsidRDefault="009F5E63" w:rsidP="009F5E63">
      <w:pPr>
        <w:pStyle w:val="BodyText"/>
        <w:ind w:left="90"/>
        <w:rPr>
          <w:u w:val="single"/>
        </w:rPr>
      </w:pPr>
      <w:r w:rsidRPr="001F7CE0">
        <w:rPr>
          <w:u w:val="single"/>
        </w:rPr>
        <w:t>Suite 200</w:t>
      </w:r>
    </w:p>
    <w:p w14:paraId="18CEDC35" w14:textId="77777777" w:rsidR="009F5E63" w:rsidRPr="001F7CE0" w:rsidRDefault="009F5E63" w:rsidP="009F5E63">
      <w:pPr>
        <w:pStyle w:val="BodyText"/>
        <w:ind w:left="90"/>
        <w:rPr>
          <w:u w:val="single"/>
        </w:rPr>
      </w:pPr>
      <w:r w:rsidRPr="001F7CE0">
        <w:rPr>
          <w:u w:val="single"/>
        </w:rPr>
        <w:t>San Ramon, CA 94583</w:t>
      </w:r>
    </w:p>
    <w:p w14:paraId="52E29A9F" w14:textId="77777777" w:rsidR="009F5E63" w:rsidRPr="001F7CE0" w:rsidRDefault="009F5E63" w:rsidP="009F5E63">
      <w:pPr>
        <w:pStyle w:val="BodyText"/>
        <w:ind w:left="90"/>
        <w:rPr>
          <w:u w:val="single"/>
        </w:rPr>
      </w:pPr>
    </w:p>
    <w:p w14:paraId="5A529688" w14:textId="77777777" w:rsidR="009F5E63" w:rsidRPr="001F7CE0" w:rsidRDefault="009F5E63" w:rsidP="009F5E63">
      <w:pPr>
        <w:pStyle w:val="BodyText"/>
        <w:ind w:left="90"/>
        <w:rPr>
          <w:u w:val="single"/>
        </w:rPr>
      </w:pPr>
      <w:proofErr w:type="spellStart"/>
      <w:r w:rsidRPr="001F7CE0">
        <w:rPr>
          <w:u w:val="single"/>
        </w:rPr>
        <w:t>OpenADR</w:t>
      </w:r>
      <w:proofErr w:type="spellEnd"/>
      <w:r w:rsidRPr="001F7CE0">
        <w:rPr>
          <w:u w:val="single"/>
        </w:rPr>
        <w:t xml:space="preserve"> 2.0a and 2.0b – 2019: Profile Specification Distributed Energy Resources</w:t>
      </w:r>
    </w:p>
    <w:p w14:paraId="2D65D844" w14:textId="77777777" w:rsidR="009F5E63" w:rsidRPr="001F7CE0" w:rsidRDefault="009F5E63" w:rsidP="009F5E63"/>
    <w:p w14:paraId="37268205" w14:textId="77777777" w:rsidR="009F5E63" w:rsidRPr="001F7CE0" w:rsidRDefault="009F5E63" w:rsidP="009F5E63">
      <w:pPr>
        <w:pStyle w:val="Heading1"/>
        <w:spacing w:before="150"/>
        <w:rPr>
          <w:color w:val="000000" w:themeColor="text1"/>
        </w:rPr>
      </w:pPr>
      <w:r w:rsidRPr="001F7CE0">
        <w:rPr>
          <w:color w:val="000000" w:themeColor="text1"/>
        </w:rPr>
        <w:t>Reason for revision</w:t>
      </w:r>
    </w:p>
    <w:p w14:paraId="5B56C112" w14:textId="77777777" w:rsidR="009F5E63" w:rsidRPr="001F7CE0" w:rsidRDefault="009F5E63" w:rsidP="009F5E63">
      <w:pPr>
        <w:pStyle w:val="Heading1"/>
        <w:spacing w:before="150"/>
        <w:rPr>
          <w:b w:val="0"/>
          <w:bCs w:val="0"/>
          <w:color w:val="000000" w:themeColor="text1"/>
        </w:rPr>
      </w:pPr>
      <w:r w:rsidRPr="001F7CE0">
        <w:rPr>
          <w:b w:val="0"/>
          <w:bCs w:val="0"/>
          <w:color w:val="000000" w:themeColor="text1"/>
        </w:rPr>
        <w:t xml:space="preserve">This revision is the result of a collaboration/negotiation between NBI, DOE, and AHRI. This proposal is being revised to align closely with REPI-70, which defines requirements for demand responsive thermostats in residential applications. </w:t>
      </w:r>
    </w:p>
    <w:p w14:paraId="2A39C5C7" w14:textId="77777777" w:rsidR="009F5E63" w:rsidRPr="001F7CE0" w:rsidRDefault="009F5E63" w:rsidP="009F5E63">
      <w:pPr>
        <w:pStyle w:val="Heading1"/>
        <w:spacing w:before="150"/>
        <w:rPr>
          <w:b w:val="0"/>
          <w:bCs w:val="0"/>
          <w:color w:val="000000" w:themeColor="text1"/>
        </w:rPr>
      </w:pPr>
      <w:r w:rsidRPr="001F7CE0">
        <w:rPr>
          <w:b w:val="0"/>
          <w:bCs w:val="0"/>
          <w:color w:val="000000" w:themeColor="text1"/>
        </w:rPr>
        <w:t>It makes these key revisions:</w:t>
      </w:r>
    </w:p>
    <w:p w14:paraId="05652EE6" w14:textId="77777777" w:rsidR="009F5E63" w:rsidRPr="001F7CE0" w:rsidRDefault="009F5E63" w:rsidP="009F5E63">
      <w:pPr>
        <w:pStyle w:val="Heading1"/>
        <w:numPr>
          <w:ilvl w:val="0"/>
          <w:numId w:val="4"/>
        </w:numPr>
        <w:spacing w:before="150"/>
        <w:rPr>
          <w:b w:val="0"/>
          <w:bCs w:val="0"/>
          <w:color w:val="000000" w:themeColor="text1"/>
        </w:rPr>
      </w:pPr>
      <w:r w:rsidRPr="001F7CE0">
        <w:rPr>
          <w:b w:val="0"/>
          <w:bCs w:val="0"/>
          <w:color w:val="000000" w:themeColor="text1"/>
        </w:rPr>
        <w:t xml:space="preserve">It replaces definitions for “grid integrated control” with “demand responsive control.”  The market is moving to a more robust implementation of demand </w:t>
      </w:r>
      <w:proofErr w:type="gramStart"/>
      <w:r w:rsidRPr="001F7CE0">
        <w:rPr>
          <w:b w:val="0"/>
          <w:bCs w:val="0"/>
          <w:color w:val="000000" w:themeColor="text1"/>
        </w:rPr>
        <w:t>response, but</w:t>
      </w:r>
      <w:proofErr w:type="gramEnd"/>
      <w:r w:rsidRPr="001F7CE0">
        <w:rPr>
          <w:b w:val="0"/>
          <w:bCs w:val="0"/>
          <w:color w:val="000000" w:themeColor="text1"/>
        </w:rPr>
        <w:t xml:space="preserve"> has not yet settled on a terminology.  This change utilizes a known term, “demand response,” until such time as the market settles on a new term that can be defined in code.  These definitions are used in Title 24, which is leading the market for demand responsive control requirements.</w:t>
      </w:r>
    </w:p>
    <w:p w14:paraId="15C4EB99" w14:textId="77777777" w:rsidR="009F5E63" w:rsidRPr="001F7CE0" w:rsidRDefault="009F5E63" w:rsidP="009F5E63">
      <w:pPr>
        <w:pStyle w:val="Heading1"/>
        <w:numPr>
          <w:ilvl w:val="0"/>
          <w:numId w:val="4"/>
        </w:numPr>
        <w:spacing w:before="150"/>
        <w:rPr>
          <w:b w:val="0"/>
          <w:bCs w:val="0"/>
          <w:color w:val="000000" w:themeColor="text1"/>
        </w:rPr>
      </w:pPr>
      <w:r w:rsidRPr="001F7CE0">
        <w:rPr>
          <w:b w:val="0"/>
          <w:bCs w:val="0"/>
          <w:color w:val="000000" w:themeColor="text1"/>
        </w:rPr>
        <w:t>The requirement to include ramp-up and ramp-down logic to prevent building peak demand from exceeding that without the demand response implementation has been removed because currently available thermostats that are otherwise compliant with the requirements in this proposal generally do not include this capability and therefore including this requirement risks substantially increasing costs for compliance.</w:t>
      </w:r>
    </w:p>
    <w:p w14:paraId="3E8F0F58" w14:textId="77777777" w:rsidR="009F5E63" w:rsidRPr="001F7CE0" w:rsidRDefault="009F5E63" w:rsidP="009F5E63">
      <w:pPr>
        <w:pStyle w:val="Heading1"/>
        <w:numPr>
          <w:ilvl w:val="0"/>
          <w:numId w:val="4"/>
        </w:numPr>
        <w:spacing w:before="150"/>
        <w:rPr>
          <w:b w:val="0"/>
          <w:bCs w:val="0"/>
          <w:color w:val="000000" w:themeColor="text1"/>
        </w:rPr>
      </w:pPr>
      <w:r w:rsidRPr="001F7CE0">
        <w:rPr>
          <w:b w:val="0"/>
          <w:bCs w:val="0"/>
          <w:color w:val="000000" w:themeColor="text1"/>
        </w:rPr>
        <w:t>It includes requirements that demand responsive controls shall comply with accepted industry-standard communications signals and protocols, including flexibility to allow controls to use one of several currently-available options. These requirements align with California’s Title 24 energy code as well as proposal REPI-70.</w:t>
      </w:r>
    </w:p>
    <w:p w14:paraId="114C76BE" w14:textId="77777777" w:rsidR="009F5E63" w:rsidRDefault="009F5E63" w:rsidP="009F5E63">
      <w:pPr>
        <w:pStyle w:val="Heading1"/>
        <w:spacing w:before="150"/>
      </w:pPr>
      <w:r w:rsidRPr="001F7CE0">
        <w:rPr>
          <w:color w:val="231F20"/>
        </w:rPr>
        <w:t>Reason</w:t>
      </w:r>
      <w:r w:rsidRPr="001F7CE0">
        <w:rPr>
          <w:color w:val="231F20"/>
          <w:spacing w:val="1"/>
        </w:rPr>
        <w:t xml:space="preserve"> </w:t>
      </w:r>
      <w:r w:rsidRPr="001F7CE0">
        <w:rPr>
          <w:color w:val="231F20"/>
          <w:spacing w:val="-2"/>
        </w:rPr>
        <w:t>Statement:</w:t>
      </w:r>
    </w:p>
    <w:p w14:paraId="3D740D59" w14:textId="77777777" w:rsidR="009F5E63" w:rsidRDefault="009F5E63" w:rsidP="009F5E63">
      <w:pPr>
        <w:pStyle w:val="BodyText"/>
        <w:spacing w:before="6"/>
        <w:rPr>
          <w:b/>
        </w:rPr>
      </w:pPr>
    </w:p>
    <w:p w14:paraId="2830DD42" w14:textId="77777777" w:rsidR="009F5E63" w:rsidRPr="00E75457" w:rsidRDefault="009F5E63" w:rsidP="009F5E63">
      <w:pPr>
        <w:pStyle w:val="BodyText"/>
        <w:spacing w:line="278" w:lineRule="auto"/>
        <w:ind w:left="100" w:right="247"/>
        <w:rPr>
          <w:color w:val="231F20"/>
        </w:rPr>
      </w:pPr>
      <w:r w:rsidRPr="00E75457">
        <w:rPr>
          <w:color w:val="231F20"/>
        </w:rPr>
        <w:t>Grid-integrated controls for thermostats are added based on language from California Title 24 and ASHRAE Standard 189.1. Any</w:t>
      </w:r>
    </w:p>
    <w:p w14:paraId="75A50337" w14:textId="77777777" w:rsidR="009F5E63" w:rsidRPr="00E75457" w:rsidRDefault="009F5E63" w:rsidP="009F5E63">
      <w:pPr>
        <w:pStyle w:val="BodyText"/>
        <w:spacing w:line="278" w:lineRule="auto"/>
        <w:ind w:left="100" w:right="247"/>
        <w:rPr>
          <w:color w:val="231F20"/>
        </w:rPr>
      </w:pPr>
      <w:r w:rsidRPr="00E75457">
        <w:rPr>
          <w:color w:val="231F20"/>
        </w:rPr>
        <w:t>thermostat listed as “Title 24 compliant” would meet this requirement. The controls allow for dialing back heating and cooling, as well</w:t>
      </w:r>
    </w:p>
    <w:p w14:paraId="567957CE" w14:textId="77777777" w:rsidR="009F5E63" w:rsidRPr="00E75457" w:rsidRDefault="009F5E63" w:rsidP="009F5E63">
      <w:pPr>
        <w:pStyle w:val="BodyText"/>
        <w:spacing w:line="278" w:lineRule="auto"/>
        <w:ind w:left="100" w:right="247"/>
        <w:rPr>
          <w:color w:val="231F20"/>
        </w:rPr>
      </w:pPr>
      <w:r w:rsidRPr="00E75457">
        <w:rPr>
          <w:color w:val="231F20"/>
        </w:rPr>
        <w:t>as to accept additional heating or cooling when renewable energy generation is high or energy prices are low, and both ramp up and</w:t>
      </w:r>
    </w:p>
    <w:p w14:paraId="082A5960" w14:textId="77777777" w:rsidR="009F5E63" w:rsidRPr="00E75457" w:rsidRDefault="009F5E63" w:rsidP="009F5E63">
      <w:pPr>
        <w:pStyle w:val="BodyText"/>
        <w:spacing w:line="278" w:lineRule="auto"/>
        <w:ind w:left="100" w:right="247"/>
        <w:rPr>
          <w:color w:val="231F20"/>
        </w:rPr>
      </w:pPr>
      <w:r w:rsidRPr="00E75457">
        <w:rPr>
          <w:color w:val="231F20"/>
        </w:rPr>
        <w:t>down requirements in relationship to the utility/grid operator/third party aggregator signal to prevent rebound issues on the grid after</w:t>
      </w:r>
    </w:p>
    <w:p w14:paraId="5BB35BB0" w14:textId="77777777" w:rsidR="009F5E63" w:rsidRPr="00E75457" w:rsidRDefault="009F5E63" w:rsidP="009F5E63">
      <w:pPr>
        <w:pStyle w:val="BodyText"/>
        <w:spacing w:line="278" w:lineRule="auto"/>
        <w:ind w:left="100" w:right="247"/>
        <w:rPr>
          <w:color w:val="231F20"/>
        </w:rPr>
      </w:pPr>
      <w:r w:rsidRPr="00E75457">
        <w:rPr>
          <w:color w:val="231F20"/>
        </w:rPr>
        <w:t>the signal is released.</w:t>
      </w:r>
    </w:p>
    <w:p w14:paraId="0AD16866" w14:textId="77777777" w:rsidR="009F5E63" w:rsidRPr="00E75457" w:rsidRDefault="009F5E63" w:rsidP="009F5E63">
      <w:pPr>
        <w:pStyle w:val="BodyText"/>
        <w:spacing w:line="278" w:lineRule="auto"/>
        <w:ind w:left="100" w:right="247"/>
        <w:rPr>
          <w:color w:val="231F20"/>
        </w:rPr>
      </w:pPr>
      <w:r w:rsidRPr="00E75457">
        <w:rPr>
          <w:color w:val="231F20"/>
        </w:rPr>
        <w:t>In health care and assisted living facilities, thermostat setpoints can impact more than just thermal comfort, and temperature can be</w:t>
      </w:r>
    </w:p>
    <w:p w14:paraId="1E9ED564" w14:textId="77777777" w:rsidR="009F5E63" w:rsidRPr="00E75457" w:rsidRDefault="009F5E63" w:rsidP="009F5E63">
      <w:pPr>
        <w:pStyle w:val="BodyText"/>
        <w:spacing w:line="278" w:lineRule="auto"/>
        <w:ind w:left="100" w:right="247"/>
        <w:rPr>
          <w:color w:val="231F20"/>
        </w:rPr>
      </w:pPr>
      <w:r w:rsidRPr="00E75457">
        <w:rPr>
          <w:color w:val="231F20"/>
        </w:rPr>
        <w:t>part of the health care being provided. To ensure that this requirement cannot have an adverse impact on those services, these</w:t>
      </w:r>
    </w:p>
    <w:p w14:paraId="4E6D29FB" w14:textId="77777777" w:rsidR="009F5E63" w:rsidRPr="00E75457" w:rsidRDefault="009F5E63" w:rsidP="009F5E63">
      <w:pPr>
        <w:pStyle w:val="BodyText"/>
        <w:spacing w:line="278" w:lineRule="auto"/>
        <w:ind w:left="100" w:right="247"/>
        <w:rPr>
          <w:color w:val="231F20"/>
        </w:rPr>
      </w:pPr>
      <w:r w:rsidRPr="00E75457">
        <w:rPr>
          <w:color w:val="231F20"/>
        </w:rPr>
        <w:t>facilities have been exempted from this requirement.</w:t>
      </w:r>
    </w:p>
    <w:p w14:paraId="4CF0550E" w14:textId="77777777" w:rsidR="009F5E63" w:rsidRPr="00E75457" w:rsidRDefault="009F5E63" w:rsidP="009F5E63">
      <w:pPr>
        <w:pStyle w:val="BodyText"/>
        <w:spacing w:line="278" w:lineRule="auto"/>
        <w:ind w:left="100" w:right="247"/>
        <w:rPr>
          <w:color w:val="231F20"/>
        </w:rPr>
      </w:pPr>
      <w:r w:rsidRPr="00E75457">
        <w:rPr>
          <w:color w:val="231F20"/>
        </w:rPr>
        <w:t>HVAC system control, often through thermostats, has been at the center of demand response (DR) programs for decades. DR</w:t>
      </w:r>
    </w:p>
    <w:p w14:paraId="3AFBCFE1" w14:textId="77777777" w:rsidR="009F5E63" w:rsidRPr="00E75457" w:rsidRDefault="009F5E63" w:rsidP="009F5E63">
      <w:pPr>
        <w:pStyle w:val="BodyText"/>
        <w:spacing w:line="278" w:lineRule="auto"/>
        <w:ind w:left="100" w:right="247"/>
        <w:rPr>
          <w:color w:val="231F20"/>
        </w:rPr>
      </w:pPr>
      <w:r w:rsidRPr="00E75457">
        <w:rPr>
          <w:color w:val="231F20"/>
        </w:rPr>
        <w:t>programs continue to rely deeply on thermostat control strategies, but the need for such controls is fast growing. As electricity systems</w:t>
      </w:r>
    </w:p>
    <w:p w14:paraId="6962C3C0" w14:textId="77777777" w:rsidR="009F5E63" w:rsidRPr="00E75457" w:rsidRDefault="009F5E63" w:rsidP="009F5E63">
      <w:pPr>
        <w:pStyle w:val="BodyText"/>
        <w:spacing w:line="278" w:lineRule="auto"/>
        <w:ind w:left="100" w:right="247"/>
        <w:rPr>
          <w:color w:val="231F20"/>
        </w:rPr>
      </w:pPr>
      <w:r w:rsidRPr="00E75457">
        <w:rPr>
          <w:color w:val="231F20"/>
        </w:rPr>
        <w:t>transform to include more variable wind and solar energy, demand flexibility becomes increasingly critical to both grid operation and</w:t>
      </w:r>
    </w:p>
    <w:p w14:paraId="0CFC94DD" w14:textId="77777777" w:rsidR="009F5E63" w:rsidRPr="00E75457" w:rsidRDefault="009F5E63" w:rsidP="009F5E63">
      <w:pPr>
        <w:pStyle w:val="BodyText"/>
        <w:spacing w:line="278" w:lineRule="auto"/>
        <w:ind w:left="100" w:right="247"/>
        <w:rPr>
          <w:color w:val="231F20"/>
        </w:rPr>
      </w:pPr>
      <w:r w:rsidRPr="00E75457">
        <w:rPr>
          <w:color w:val="231F20"/>
        </w:rPr>
        <w:t>further transformation. Building systems that can use energy when it is abundant, clean, and low-cost not only help decarbonize the</w:t>
      </w:r>
    </w:p>
    <w:p w14:paraId="50E79C47" w14:textId="77777777" w:rsidR="009F5E63" w:rsidRPr="00E75457" w:rsidRDefault="009F5E63" w:rsidP="009F5E63">
      <w:pPr>
        <w:pStyle w:val="BodyText"/>
        <w:spacing w:line="278" w:lineRule="auto"/>
        <w:ind w:left="100" w:right="247"/>
        <w:rPr>
          <w:color w:val="231F20"/>
        </w:rPr>
      </w:pPr>
      <w:r w:rsidRPr="00E75457">
        <w:rPr>
          <w:color w:val="231F20"/>
        </w:rPr>
        <w:t>entire energy system, they also insulate their owners from future increases in demand charges and peak hour energy rates – a current</w:t>
      </w:r>
    </w:p>
    <w:p w14:paraId="60634042" w14:textId="77777777" w:rsidR="009F5E63" w:rsidRPr="00E75457" w:rsidRDefault="009F5E63" w:rsidP="009F5E63">
      <w:pPr>
        <w:pStyle w:val="BodyText"/>
        <w:spacing w:line="278" w:lineRule="auto"/>
        <w:ind w:left="100" w:right="247"/>
        <w:rPr>
          <w:color w:val="231F20"/>
        </w:rPr>
      </w:pPr>
      <w:r w:rsidRPr="00E75457">
        <w:rPr>
          <w:color w:val="231F20"/>
        </w:rPr>
        <w:t>and accelerating trend.</w:t>
      </w:r>
    </w:p>
    <w:p w14:paraId="5AA51677" w14:textId="77777777" w:rsidR="009F5E63" w:rsidRPr="00E75457" w:rsidRDefault="009F5E63" w:rsidP="009F5E63">
      <w:pPr>
        <w:pStyle w:val="BodyText"/>
        <w:spacing w:line="278" w:lineRule="auto"/>
        <w:ind w:left="100" w:right="247"/>
        <w:rPr>
          <w:color w:val="231F20"/>
        </w:rPr>
      </w:pPr>
      <w:r w:rsidRPr="00E75457">
        <w:rPr>
          <w:color w:val="231F20"/>
        </w:rPr>
        <w:t>Today’s demand response programs typically set event (call) durations between 15 minutes and 4 hours. The preconditioning</w:t>
      </w:r>
    </w:p>
    <w:p w14:paraId="0A5BC20E" w14:textId="77777777" w:rsidR="009F5E63" w:rsidRPr="00E75457" w:rsidRDefault="009F5E63" w:rsidP="009F5E63">
      <w:pPr>
        <w:pStyle w:val="BodyText"/>
        <w:spacing w:line="278" w:lineRule="auto"/>
        <w:ind w:left="100" w:right="247"/>
        <w:rPr>
          <w:color w:val="231F20"/>
        </w:rPr>
      </w:pPr>
      <w:r w:rsidRPr="00E75457">
        <w:rPr>
          <w:color w:val="231F20"/>
        </w:rPr>
        <w:t>strategies (cooling set point reduction / heating set point increase) and temporary setback strategies (cooling set point increase /</w:t>
      </w:r>
    </w:p>
    <w:p w14:paraId="7D3038FF" w14:textId="77777777" w:rsidR="009F5E63" w:rsidRPr="00E75457" w:rsidRDefault="009F5E63" w:rsidP="009F5E63">
      <w:pPr>
        <w:pStyle w:val="BodyText"/>
        <w:spacing w:line="278" w:lineRule="auto"/>
        <w:ind w:left="100" w:right="247"/>
        <w:rPr>
          <w:color w:val="231F20"/>
        </w:rPr>
      </w:pPr>
      <w:r w:rsidRPr="00E75457">
        <w:rPr>
          <w:color w:val="231F20"/>
        </w:rPr>
        <w:t>heating set point reduction) will enable substantial HVAC system energy savings over this time frame. In many cases, in a building</w:t>
      </w:r>
      <w:r w:rsidRPr="00E75457">
        <w:t xml:space="preserve"> </w:t>
      </w:r>
      <w:r w:rsidRPr="00E75457">
        <w:rPr>
          <w:color w:val="231F20"/>
        </w:rPr>
        <w:t>compliant with this code, tenants are unlikely to even notice a change in their thermal comfort. The inclusion of preconditioning helps</w:t>
      </w:r>
    </w:p>
    <w:p w14:paraId="3E078B65" w14:textId="77777777" w:rsidR="009F5E63" w:rsidRPr="00E75457" w:rsidRDefault="009F5E63" w:rsidP="009F5E63">
      <w:pPr>
        <w:pStyle w:val="BodyText"/>
        <w:spacing w:line="278" w:lineRule="auto"/>
        <w:ind w:left="100" w:right="247"/>
        <w:rPr>
          <w:color w:val="231F20"/>
        </w:rPr>
      </w:pPr>
      <w:r w:rsidRPr="00E75457">
        <w:rPr>
          <w:color w:val="231F20"/>
        </w:rPr>
        <w:t xml:space="preserve">ensure that the building </w:t>
      </w:r>
      <w:proofErr w:type="gramStart"/>
      <w:r w:rsidRPr="00E75457">
        <w:rPr>
          <w:color w:val="231F20"/>
        </w:rPr>
        <w:t>is able to</w:t>
      </w:r>
      <w:proofErr w:type="gramEnd"/>
      <w:r w:rsidRPr="00E75457">
        <w:rPr>
          <w:color w:val="231F20"/>
        </w:rPr>
        <w:t xml:space="preserve"> reduce electrical demand by adjusting HVAC setpoints while minimizing the risk of tenant disruption:</w:t>
      </w:r>
    </w:p>
    <w:p w14:paraId="427B65CD" w14:textId="77777777" w:rsidR="009F5E63" w:rsidRPr="00E75457" w:rsidRDefault="009F5E63" w:rsidP="009F5E63">
      <w:pPr>
        <w:pStyle w:val="BodyText"/>
        <w:spacing w:line="278" w:lineRule="auto"/>
        <w:ind w:left="100" w:right="247"/>
        <w:rPr>
          <w:color w:val="231F20"/>
        </w:rPr>
      </w:pPr>
      <w:r w:rsidRPr="00E75457">
        <w:rPr>
          <w:color w:val="231F20"/>
        </w:rPr>
        <w:t>in many cases the event will end before the higher cooling (or lower heating) set point is reached in the space.</w:t>
      </w:r>
    </w:p>
    <w:p w14:paraId="12FD4796" w14:textId="77777777" w:rsidR="009F5E63" w:rsidRPr="00E75457" w:rsidRDefault="009F5E63" w:rsidP="009F5E63">
      <w:pPr>
        <w:pStyle w:val="BodyText"/>
        <w:spacing w:line="278" w:lineRule="auto"/>
        <w:ind w:left="100" w:right="247"/>
        <w:rPr>
          <w:color w:val="231F20"/>
        </w:rPr>
      </w:pPr>
      <w:r w:rsidRPr="00E75457">
        <w:rPr>
          <w:color w:val="231F20"/>
        </w:rPr>
        <w:t>Based on modeling by LBNL (foundational modeling supporting the May 2021 DOE Grid-integrated Efficient Buildings Roadmap),</w:t>
      </w:r>
    </w:p>
    <w:p w14:paraId="19AFFE5E" w14:textId="77777777" w:rsidR="009F5E63" w:rsidRPr="00E75457" w:rsidRDefault="009F5E63" w:rsidP="009F5E63">
      <w:pPr>
        <w:pStyle w:val="BodyText"/>
        <w:spacing w:line="278" w:lineRule="auto"/>
        <w:ind w:left="100" w:right="247"/>
        <w:rPr>
          <w:color w:val="231F20"/>
        </w:rPr>
      </w:pPr>
      <w:r w:rsidRPr="00E75457">
        <w:rPr>
          <w:color w:val="231F20"/>
        </w:rPr>
        <w:t>thermostat controls configured to deliver preconditioning and/or space temperature adjustments can reduce building peak demand by</w:t>
      </w:r>
    </w:p>
    <w:p w14:paraId="0FBE0A75" w14:textId="77777777" w:rsidR="009F5E63" w:rsidRDefault="009F5E63" w:rsidP="009F5E63">
      <w:pPr>
        <w:pStyle w:val="BodyText"/>
        <w:spacing w:line="278" w:lineRule="auto"/>
        <w:ind w:left="100" w:right="247"/>
        <w:rPr>
          <w:color w:val="231F20"/>
        </w:rPr>
      </w:pPr>
      <w:r w:rsidRPr="00E75457">
        <w:rPr>
          <w:color w:val="231F20"/>
        </w:rPr>
        <w:t>roughly 10% in many cases.</w:t>
      </w:r>
    </w:p>
    <w:p w14:paraId="08A3E7B9" w14:textId="77777777" w:rsidR="009F5E63" w:rsidRDefault="009F5E63" w:rsidP="009F5E63">
      <w:pPr>
        <w:pStyle w:val="BodyText"/>
        <w:spacing w:line="278" w:lineRule="auto"/>
        <w:ind w:left="100" w:right="247"/>
        <w:rPr>
          <w:color w:val="231F20"/>
        </w:rPr>
      </w:pPr>
    </w:p>
    <w:p w14:paraId="12FD670C" w14:textId="77777777" w:rsidR="009F5E63" w:rsidRPr="008C2937" w:rsidRDefault="009F5E63" w:rsidP="009F5E63">
      <w:pPr>
        <w:pStyle w:val="BodyText"/>
        <w:spacing w:before="6"/>
        <w:rPr>
          <w:b/>
          <w:bCs/>
          <w:color w:val="231F20"/>
        </w:rPr>
      </w:pPr>
      <w:r w:rsidRPr="008C2937">
        <w:rPr>
          <w:b/>
          <w:bCs/>
          <w:color w:val="231F20"/>
        </w:rPr>
        <w:t>Bibliography:</w:t>
      </w:r>
    </w:p>
    <w:p w14:paraId="1E66EBBD" w14:textId="77777777" w:rsidR="009F5E63" w:rsidRPr="008C2937" w:rsidRDefault="009F5E63" w:rsidP="009F5E63">
      <w:pPr>
        <w:pStyle w:val="BodyText"/>
        <w:spacing w:before="6"/>
        <w:rPr>
          <w:color w:val="231F20"/>
        </w:rPr>
      </w:pPr>
      <w:r w:rsidRPr="008C2937">
        <w:rPr>
          <w:color w:val="231F20"/>
        </w:rPr>
        <w:t>A National Roadmap for Grid-Interactive Efficient Buildings, U.S. Department of Energy, 17 May</w:t>
      </w:r>
    </w:p>
    <w:p w14:paraId="6D6E63DC" w14:textId="77777777" w:rsidR="009F5E63" w:rsidRPr="008C2937" w:rsidRDefault="009F5E63" w:rsidP="009F5E63">
      <w:pPr>
        <w:pStyle w:val="BodyText"/>
        <w:spacing w:before="6"/>
        <w:rPr>
          <w:color w:val="231F20"/>
        </w:rPr>
      </w:pPr>
      <w:r w:rsidRPr="008C2937">
        <w:rPr>
          <w:color w:val="231F20"/>
        </w:rPr>
        <w:t>2021, https://gebroadmap.lbl.gov/A%20National%20Roadmap%20for%20GEBs%20-%20Final.pdf.</w:t>
      </w:r>
    </w:p>
    <w:p w14:paraId="3EF9E396" w14:textId="77777777" w:rsidR="009F5E63" w:rsidRDefault="009F5E63" w:rsidP="009F5E63">
      <w:pPr>
        <w:pStyle w:val="BodyText"/>
        <w:spacing w:before="6"/>
        <w:rPr>
          <w:color w:val="231F20"/>
        </w:rPr>
      </w:pPr>
    </w:p>
    <w:p w14:paraId="139CC44A" w14:textId="77777777" w:rsidR="009F5E63" w:rsidRPr="008C2937" w:rsidRDefault="009F5E63" w:rsidP="009F5E63">
      <w:pPr>
        <w:pStyle w:val="BodyText"/>
        <w:spacing w:before="6"/>
        <w:rPr>
          <w:color w:val="231F20"/>
        </w:rPr>
      </w:pPr>
      <w:r w:rsidRPr="008C2937">
        <w:rPr>
          <w:color w:val="231F20"/>
        </w:rPr>
        <w:t>Final CASE Report: Upgradeable Setback Thermostats, California Statewide Codes and Standards Enhancement (CASE) Program,</w:t>
      </w:r>
    </w:p>
    <w:p w14:paraId="002319B6" w14:textId="77777777" w:rsidR="009F5E63" w:rsidRPr="008C2937" w:rsidRDefault="009F5E63" w:rsidP="009F5E63">
      <w:pPr>
        <w:pStyle w:val="BodyText"/>
        <w:spacing w:before="6"/>
        <w:rPr>
          <w:color w:val="231F20"/>
        </w:rPr>
      </w:pPr>
      <w:r w:rsidRPr="008C2937">
        <w:rPr>
          <w:color w:val="231F20"/>
        </w:rPr>
        <w:t>October 2011, https://title24stakeholders.com/wp-content/uploads/2020/01/2013_CASE-Report_Upgradeable-Setback-</w:t>
      </w:r>
    </w:p>
    <w:p w14:paraId="5D9E11E3" w14:textId="77777777" w:rsidR="009F5E63" w:rsidRPr="008C2937" w:rsidRDefault="009F5E63" w:rsidP="009F5E63">
      <w:pPr>
        <w:pStyle w:val="BodyText"/>
        <w:spacing w:before="6"/>
        <w:rPr>
          <w:color w:val="231F20"/>
        </w:rPr>
      </w:pPr>
      <w:r w:rsidRPr="008C2937">
        <w:rPr>
          <w:color w:val="231F20"/>
        </w:rPr>
        <w:t>Thermostats.pdf</w:t>
      </w:r>
    </w:p>
    <w:p w14:paraId="14212934" w14:textId="77777777" w:rsidR="009F5E63" w:rsidRDefault="009F5E63" w:rsidP="009F5E63">
      <w:pPr>
        <w:pStyle w:val="BodyText"/>
        <w:spacing w:before="6"/>
        <w:rPr>
          <w:color w:val="231F20"/>
        </w:rPr>
      </w:pPr>
    </w:p>
    <w:p w14:paraId="57367BCB" w14:textId="77777777" w:rsidR="009F5E63" w:rsidRPr="008C2937" w:rsidRDefault="009F5E63" w:rsidP="009F5E63">
      <w:pPr>
        <w:pStyle w:val="BodyText"/>
        <w:spacing w:before="6"/>
        <w:rPr>
          <w:color w:val="231F20"/>
        </w:rPr>
      </w:pPr>
      <w:proofErr w:type="spellStart"/>
      <w:r w:rsidRPr="008C2937">
        <w:rPr>
          <w:color w:val="231F20"/>
        </w:rPr>
        <w:t>SupplyHouse</w:t>
      </w:r>
      <w:proofErr w:type="spellEnd"/>
      <w:r w:rsidRPr="008C2937">
        <w:rPr>
          <w:color w:val="231F20"/>
        </w:rPr>
        <w:t xml:space="preserve">. “T3700 - </w:t>
      </w:r>
      <w:proofErr w:type="spellStart"/>
      <w:r w:rsidRPr="008C2937">
        <w:rPr>
          <w:color w:val="231F20"/>
        </w:rPr>
        <w:t>Venstar</w:t>
      </w:r>
      <w:proofErr w:type="spellEnd"/>
      <w:r w:rsidRPr="008C2937">
        <w:rPr>
          <w:color w:val="231F20"/>
        </w:rPr>
        <w:t xml:space="preserve"> T3700 - Explorer T3700 Residential Digital Thermostat (2 Heat, 1</w:t>
      </w:r>
    </w:p>
    <w:p w14:paraId="6037F4A9" w14:textId="77777777" w:rsidR="009F5E63" w:rsidRPr="008C2937" w:rsidRDefault="009F5E63" w:rsidP="009F5E63">
      <w:pPr>
        <w:pStyle w:val="BodyText"/>
        <w:spacing w:before="6"/>
        <w:rPr>
          <w:color w:val="231F20"/>
        </w:rPr>
      </w:pPr>
      <w:r w:rsidRPr="008C2937">
        <w:rPr>
          <w:color w:val="231F20"/>
        </w:rPr>
        <w:t>Cool).” SupplyHouse.com, www.supplyhouse.com/Venstar-T3700-Explorer-T3700-Residential-Digital-Thermostat-2-Heat-1-</w:t>
      </w:r>
    </w:p>
    <w:p w14:paraId="5DB1D009" w14:textId="77777777" w:rsidR="009F5E63" w:rsidRPr="008C2937" w:rsidRDefault="009F5E63" w:rsidP="009F5E63">
      <w:pPr>
        <w:pStyle w:val="BodyText"/>
        <w:spacing w:before="6"/>
        <w:rPr>
          <w:color w:val="231F20"/>
        </w:rPr>
      </w:pPr>
      <w:r w:rsidRPr="008C2937">
        <w:rPr>
          <w:color w:val="231F20"/>
        </w:rPr>
        <w:t xml:space="preserve">Cool. </w:t>
      </w:r>
      <w:proofErr w:type="spellStart"/>
      <w:r w:rsidRPr="008C2937">
        <w:rPr>
          <w:color w:val="231F20"/>
        </w:rPr>
        <w:t>SupplyHouse</w:t>
      </w:r>
      <w:proofErr w:type="spellEnd"/>
      <w:r w:rsidRPr="008C2937">
        <w:rPr>
          <w:color w:val="231F20"/>
        </w:rPr>
        <w:t xml:space="preserve">. “T1010 - </w:t>
      </w:r>
      <w:proofErr w:type="spellStart"/>
      <w:r w:rsidRPr="008C2937">
        <w:rPr>
          <w:color w:val="231F20"/>
        </w:rPr>
        <w:t>Venstar</w:t>
      </w:r>
      <w:proofErr w:type="spellEnd"/>
      <w:r w:rsidRPr="008C2937">
        <w:rPr>
          <w:color w:val="231F20"/>
        </w:rPr>
        <w:t xml:space="preserve"> T1010 –Single Day Programmable Digital</w:t>
      </w:r>
    </w:p>
    <w:p w14:paraId="0986BE8B" w14:textId="77777777" w:rsidR="009F5E63" w:rsidRPr="008C2937" w:rsidRDefault="009F5E63" w:rsidP="009F5E63">
      <w:pPr>
        <w:pStyle w:val="BodyText"/>
        <w:spacing w:before="6"/>
        <w:rPr>
          <w:color w:val="231F20"/>
        </w:rPr>
      </w:pPr>
      <w:r w:rsidRPr="008C2937">
        <w:rPr>
          <w:color w:val="231F20"/>
        </w:rPr>
        <w:t>Thermostat” SupplyHouse.com, https://www.supplyhouse.com/Venstar-T1010-Venstar-T1010-Single-Day-Programmable-Digital-</w:t>
      </w:r>
    </w:p>
    <w:p w14:paraId="114882BC" w14:textId="77777777" w:rsidR="009F5E63" w:rsidRPr="008C2937" w:rsidRDefault="009F5E63" w:rsidP="009F5E63">
      <w:pPr>
        <w:pStyle w:val="BodyText"/>
        <w:spacing w:before="6"/>
        <w:rPr>
          <w:color w:val="231F20"/>
        </w:rPr>
      </w:pPr>
      <w:r w:rsidRPr="008C2937">
        <w:rPr>
          <w:color w:val="231F20"/>
        </w:rPr>
        <w:t>Thermostat</w:t>
      </w:r>
    </w:p>
    <w:p w14:paraId="25CC2E88" w14:textId="77777777" w:rsidR="009F5E63" w:rsidRDefault="009F5E63" w:rsidP="009F5E63">
      <w:pPr>
        <w:pStyle w:val="BodyText"/>
        <w:spacing w:before="6"/>
        <w:rPr>
          <w:color w:val="231F20"/>
        </w:rPr>
      </w:pPr>
    </w:p>
    <w:p w14:paraId="2521CEC8" w14:textId="77777777" w:rsidR="009F5E63" w:rsidRDefault="009F5E63" w:rsidP="009F5E63">
      <w:pPr>
        <w:pStyle w:val="BodyText"/>
        <w:spacing w:before="6"/>
        <w:rPr>
          <w:color w:val="231F20"/>
        </w:rPr>
      </w:pPr>
      <w:r>
        <w:rPr>
          <w:color w:val="231F20"/>
        </w:rPr>
        <w:t xml:space="preserve">Home Depot. “Honeywell Home Wi-Fi 7-Day Programmable Smart Thermostat” </w:t>
      </w:r>
      <w:r w:rsidRPr="008C2937">
        <w:rPr>
          <w:color w:val="231F20"/>
        </w:rPr>
        <w:t>https://www.homedepot.com/p/Honeywell-Home-Wi-Fi-7-Day-Programmable-Smart-Thermostat-with-Digital-Backlit-Display-RTH6580WF/203556922</w:t>
      </w:r>
    </w:p>
    <w:p w14:paraId="1D068B0D" w14:textId="77777777" w:rsidR="009F5E63" w:rsidRDefault="009F5E63" w:rsidP="009F5E63">
      <w:pPr>
        <w:pStyle w:val="BodyText"/>
        <w:spacing w:before="6"/>
        <w:rPr>
          <w:color w:val="231F20"/>
        </w:rPr>
      </w:pPr>
    </w:p>
    <w:p w14:paraId="1F1134A3" w14:textId="77777777" w:rsidR="009F5E63" w:rsidRPr="008C2937" w:rsidRDefault="009F5E63" w:rsidP="009F5E63">
      <w:pPr>
        <w:pStyle w:val="BodyText"/>
        <w:spacing w:before="6"/>
        <w:rPr>
          <w:color w:val="231F20"/>
        </w:rPr>
      </w:pPr>
      <w:r>
        <w:rPr>
          <w:color w:val="231F20"/>
        </w:rPr>
        <w:t xml:space="preserve">Home Depot. “Honeywell Home 5-1-1 Day Programmable Thermostat” </w:t>
      </w:r>
      <w:r w:rsidRPr="008C2937">
        <w:rPr>
          <w:color w:val="231F20"/>
        </w:rPr>
        <w:t>https://www.homedepot.com/p/Honeywell-Home-5-1-1-Day-Programmable-Thermostat-with-Digital-Backlit-Display-RTH2410B/203539465?ITC=AUC-63044-23-12070</w:t>
      </w:r>
    </w:p>
    <w:p w14:paraId="721D0C8E" w14:textId="77777777" w:rsidR="009F5E63" w:rsidRDefault="009F5E63" w:rsidP="009F5E63">
      <w:pPr>
        <w:pStyle w:val="BodyText"/>
        <w:spacing w:before="6"/>
        <w:rPr>
          <w:color w:val="231F20"/>
        </w:rPr>
      </w:pPr>
    </w:p>
    <w:p w14:paraId="5F779E64" w14:textId="77777777" w:rsidR="009F5E63" w:rsidRPr="008C2937" w:rsidRDefault="009F5E63" w:rsidP="009F5E63">
      <w:pPr>
        <w:pStyle w:val="BodyText"/>
        <w:spacing w:before="6"/>
        <w:rPr>
          <w:color w:val="231F20"/>
        </w:rPr>
      </w:pPr>
      <w:r w:rsidRPr="008C2937">
        <w:rPr>
          <w:color w:val="231F20"/>
        </w:rPr>
        <w:t>2017 Tier III TRM Characterizations, Advanced</w:t>
      </w:r>
    </w:p>
    <w:p w14:paraId="0B045772" w14:textId="77777777" w:rsidR="009F5E63" w:rsidRPr="008C2937" w:rsidRDefault="009F5E63" w:rsidP="009F5E63">
      <w:pPr>
        <w:pStyle w:val="BodyText"/>
        <w:spacing w:before="6"/>
        <w:rPr>
          <w:color w:val="231F20"/>
        </w:rPr>
      </w:pPr>
      <w:r w:rsidRPr="008C2937">
        <w:rPr>
          <w:color w:val="231F20"/>
        </w:rPr>
        <w:t>Thermostat https://publicservice.vermont.gov/sites/dps/files/documents/2017%20Tier%20III%20TRM%20Characterizations.pdf.</w:t>
      </w:r>
    </w:p>
    <w:p w14:paraId="409B6038" w14:textId="77777777" w:rsidR="009F5E63" w:rsidRDefault="009F5E63" w:rsidP="009F5E63">
      <w:pPr>
        <w:pStyle w:val="BodyText"/>
        <w:spacing w:before="6"/>
        <w:rPr>
          <w:color w:val="231F20"/>
        </w:rPr>
      </w:pPr>
    </w:p>
    <w:p w14:paraId="23C719D7" w14:textId="77777777" w:rsidR="009F5E63" w:rsidRPr="00B47390" w:rsidRDefault="009F5E63" w:rsidP="009F5E63">
      <w:pPr>
        <w:pStyle w:val="BodyText"/>
        <w:spacing w:before="6"/>
        <w:rPr>
          <w:b/>
          <w:bCs/>
          <w:color w:val="231F20"/>
        </w:rPr>
      </w:pPr>
      <w:r w:rsidRPr="00B47390">
        <w:rPr>
          <w:b/>
          <w:bCs/>
          <w:color w:val="231F20"/>
        </w:rPr>
        <w:t>Cost Impact:</w:t>
      </w:r>
    </w:p>
    <w:p w14:paraId="28370A40" w14:textId="77777777" w:rsidR="009F5E63" w:rsidRDefault="009F5E63" w:rsidP="009F5E63">
      <w:pPr>
        <w:pStyle w:val="BodyText"/>
        <w:spacing w:before="6"/>
        <w:rPr>
          <w:color w:val="231F20"/>
        </w:rPr>
      </w:pPr>
    </w:p>
    <w:p w14:paraId="6290F51E" w14:textId="77777777" w:rsidR="009F5E63" w:rsidRPr="008C2937" w:rsidRDefault="009F5E63" w:rsidP="009F5E63">
      <w:pPr>
        <w:pStyle w:val="BodyText"/>
        <w:spacing w:before="6"/>
        <w:rPr>
          <w:color w:val="231F20"/>
        </w:rPr>
      </w:pPr>
      <w:r w:rsidRPr="008C2937">
        <w:rPr>
          <w:color w:val="231F20"/>
        </w:rPr>
        <w:t>The code change proposal will increase the cost of construction.</w:t>
      </w:r>
    </w:p>
    <w:p w14:paraId="6E185EC1" w14:textId="77777777" w:rsidR="009F5E63" w:rsidRDefault="009F5E63" w:rsidP="009F5E63">
      <w:pPr>
        <w:pStyle w:val="BodyText"/>
        <w:spacing w:before="6"/>
        <w:rPr>
          <w:color w:val="231F20"/>
        </w:rPr>
      </w:pPr>
    </w:p>
    <w:p w14:paraId="37F810AB" w14:textId="77777777" w:rsidR="009F5E63" w:rsidRDefault="009F5E63" w:rsidP="009F5E63">
      <w:pPr>
        <w:pStyle w:val="BodyText"/>
        <w:spacing w:before="6"/>
        <w:rPr>
          <w:color w:val="231F20"/>
        </w:rPr>
      </w:pPr>
      <w:r w:rsidRPr="008C2937">
        <w:rPr>
          <w:color w:val="231F20"/>
        </w:rPr>
        <w:t>For larger commercial buildings with building management systems, it is not common to install a thermostat without demand response</w:t>
      </w:r>
      <w:r>
        <w:rPr>
          <w:color w:val="231F20"/>
        </w:rPr>
        <w:t xml:space="preserve"> </w:t>
      </w:r>
      <w:r w:rsidRPr="008C2937">
        <w:rPr>
          <w:color w:val="231F20"/>
        </w:rPr>
        <w:t>capabilities. Therefore, there is no incremental equipment cost associated with this measure for those building types. However, there</w:t>
      </w:r>
      <w:r>
        <w:rPr>
          <w:color w:val="231F20"/>
        </w:rPr>
        <w:t xml:space="preserve"> </w:t>
      </w:r>
      <w:r w:rsidRPr="008C2937">
        <w:rPr>
          <w:color w:val="231F20"/>
        </w:rPr>
        <w:t>could be soft costs to ensure those demand responsive controls function properly with the building management system.</w:t>
      </w:r>
      <w:r>
        <w:rPr>
          <w:color w:val="231F20"/>
        </w:rPr>
        <w:t xml:space="preserve"> </w:t>
      </w:r>
      <w:r w:rsidRPr="008C2937">
        <w:rPr>
          <w:color w:val="231F20"/>
        </w:rPr>
        <w:t>Conversations with industry experts indicate these soft costs can be around $0.25/</w:t>
      </w:r>
      <w:proofErr w:type="spellStart"/>
      <w:r w:rsidRPr="008C2937">
        <w:rPr>
          <w:color w:val="231F20"/>
        </w:rPr>
        <w:t>s.f.</w:t>
      </w:r>
      <w:proofErr w:type="spellEnd"/>
      <w:r w:rsidRPr="008C2937">
        <w:rPr>
          <w:color w:val="231F20"/>
        </w:rPr>
        <w:t xml:space="preserve"> for a medium office building. The primary cost</w:t>
      </w:r>
      <w:r>
        <w:rPr>
          <w:color w:val="231F20"/>
        </w:rPr>
        <w:t xml:space="preserve"> </w:t>
      </w:r>
      <w:r w:rsidRPr="008C2937">
        <w:rPr>
          <w:color w:val="231F20"/>
        </w:rPr>
        <w:t>drivers in thermostats are not the grid-integration controls but rather other features. Therefore, incremental costs vary. An entry-level</w:t>
      </w:r>
      <w:r>
        <w:rPr>
          <w:color w:val="231F20"/>
        </w:rPr>
        <w:t xml:space="preserve"> </w:t>
      </w:r>
      <w:r w:rsidRPr="008C2937">
        <w:rPr>
          <w:color w:val="231F20"/>
        </w:rPr>
        <w:t>grid-integrated thermostat currently available from a national retailer costs about $70, while the same retailer lists a similar non-grid-</w:t>
      </w:r>
      <w:r>
        <w:rPr>
          <w:color w:val="231F20"/>
        </w:rPr>
        <w:t xml:space="preserve"> </w:t>
      </w:r>
      <w:r w:rsidRPr="008C2937">
        <w:rPr>
          <w:color w:val="231F20"/>
        </w:rPr>
        <w:t>integrated programmable unit for just over $35, indicating an incremental cost of about $35. This cost has dropped in the last</w:t>
      </w:r>
      <w:r>
        <w:rPr>
          <w:color w:val="231F20"/>
        </w:rPr>
        <w:t xml:space="preserve"> five </w:t>
      </w:r>
      <w:r w:rsidRPr="005351B0">
        <w:rPr>
          <w:color w:val="231F20"/>
        </w:rPr>
        <w:t>years</w:t>
      </w:r>
      <w:r>
        <w:rPr>
          <w:color w:val="231F20"/>
        </w:rPr>
        <w:t>.</w:t>
      </w:r>
      <w:r w:rsidRPr="008C2937">
        <w:rPr>
          <w:color w:val="231F20"/>
        </w:rPr>
        <w:t xml:space="preserve"> A 2017 study out of</w:t>
      </w:r>
      <w:r>
        <w:rPr>
          <w:color w:val="231F20"/>
        </w:rPr>
        <w:t xml:space="preserve"> </w:t>
      </w:r>
      <w:r w:rsidRPr="008C2937">
        <w:rPr>
          <w:color w:val="231F20"/>
        </w:rPr>
        <w:t>Vermont cited incremental costs for smart thermostats in new construction at roughly $150 – a decrease in</w:t>
      </w:r>
      <w:r>
        <w:rPr>
          <w:color w:val="231F20"/>
        </w:rPr>
        <w:t xml:space="preserve"> </w:t>
      </w:r>
      <w:r w:rsidRPr="008C2937">
        <w:rPr>
          <w:color w:val="231F20"/>
        </w:rPr>
        <w:t>incremental costs of $115 over just 4 years.</w:t>
      </w:r>
    </w:p>
    <w:p w14:paraId="42A44205" w14:textId="77777777" w:rsidR="009F5E63" w:rsidRPr="008C2937" w:rsidRDefault="009F5E63" w:rsidP="009F5E63">
      <w:pPr>
        <w:pStyle w:val="BodyText"/>
        <w:spacing w:before="6"/>
        <w:rPr>
          <w:color w:val="231F20"/>
        </w:rPr>
      </w:pPr>
    </w:p>
    <w:p w14:paraId="328581C0" w14:textId="77777777" w:rsidR="009F5E63" w:rsidRDefault="009F5E63" w:rsidP="009F5E63">
      <w:pPr>
        <w:pStyle w:val="BodyText"/>
        <w:spacing w:before="6"/>
        <w:rPr>
          <w:color w:val="231F20"/>
        </w:rPr>
      </w:pPr>
      <w:r w:rsidRPr="008C2937">
        <w:rPr>
          <w:color w:val="231F20"/>
        </w:rPr>
        <w:t>However, smart thermostats (i.e., those with grid-integrated controls) are very common in new construction and represent a growing</w:t>
      </w:r>
      <w:r>
        <w:rPr>
          <w:color w:val="231F20"/>
        </w:rPr>
        <w:t xml:space="preserve"> </w:t>
      </w:r>
      <w:r w:rsidRPr="008C2937">
        <w:rPr>
          <w:color w:val="231F20"/>
        </w:rPr>
        <w:t>share of the retrofit market. All major smart thermostat brands already include grid-integration controls that comply with this</w:t>
      </w:r>
      <w:r>
        <w:rPr>
          <w:color w:val="231F20"/>
        </w:rPr>
        <w:t xml:space="preserve"> </w:t>
      </w:r>
      <w:r w:rsidRPr="008C2937">
        <w:rPr>
          <w:color w:val="231F20"/>
        </w:rPr>
        <w:t>requirement, so there is generally no incremental cost to include these controls assuming a smart thermostat is installed either based</w:t>
      </w:r>
      <w:r>
        <w:rPr>
          <w:color w:val="231F20"/>
        </w:rPr>
        <w:t xml:space="preserve"> </w:t>
      </w:r>
      <w:r w:rsidRPr="008C2937">
        <w:rPr>
          <w:color w:val="231F20"/>
        </w:rPr>
        <w:t>on customer preference or efficiency requirements.</w:t>
      </w:r>
    </w:p>
    <w:p w14:paraId="46CF649D" w14:textId="77777777" w:rsidR="009F5E63" w:rsidRPr="008C2937" w:rsidRDefault="009F5E63" w:rsidP="009F5E63">
      <w:pPr>
        <w:pStyle w:val="BodyText"/>
        <w:spacing w:before="6"/>
        <w:rPr>
          <w:color w:val="231F20"/>
        </w:rPr>
      </w:pPr>
    </w:p>
    <w:p w14:paraId="1D53A7EA" w14:textId="77777777" w:rsidR="009F5E63" w:rsidRDefault="009F5E63" w:rsidP="009F5E63">
      <w:pPr>
        <w:pStyle w:val="BodyText"/>
        <w:spacing w:before="6"/>
      </w:pPr>
      <w:r w:rsidRPr="008C2937">
        <w:rPr>
          <w:color w:val="231F20"/>
        </w:rPr>
        <w:t>Multifamily buildings and smaller commercial buildings that install direct-attached thermostats, demand responsive thermostats (which</w:t>
      </w:r>
      <w:r>
        <w:rPr>
          <w:color w:val="231F20"/>
        </w:rPr>
        <w:t xml:space="preserve"> </w:t>
      </w:r>
      <w:r w:rsidRPr="008C2937">
        <w:rPr>
          <w:color w:val="231F20"/>
        </w:rPr>
        <w:t>were estimated in a 2011 study to cost $68 more than a programmable thermostat) were found to be extremely cost effective. It was</w:t>
      </w:r>
      <w:r w:rsidRPr="00D40D14">
        <w:t xml:space="preserve"> </w:t>
      </w:r>
      <w:r>
        <w:rPr>
          <w:color w:val="231F20"/>
        </w:rPr>
        <w:t>estimated t</w:t>
      </w:r>
      <w:r w:rsidRPr="00D40D14">
        <w:rPr>
          <w:color w:val="231F20"/>
        </w:rPr>
        <w:t xml:space="preserve">hat installing demand responsive thermostats in a 10,000 </w:t>
      </w:r>
      <w:proofErr w:type="spellStart"/>
      <w:r w:rsidRPr="00D40D14">
        <w:rPr>
          <w:color w:val="231F20"/>
        </w:rPr>
        <w:t>s.f.</w:t>
      </w:r>
      <w:proofErr w:type="spellEnd"/>
      <w:r w:rsidRPr="00D40D14">
        <w:rPr>
          <w:color w:val="231F20"/>
        </w:rPr>
        <w:t xml:space="preserve"> office building resulted in 83kWh to 274 kWh of electricity</w:t>
      </w:r>
      <w:r>
        <w:rPr>
          <w:color w:val="231F20"/>
        </w:rPr>
        <w:t xml:space="preserve"> </w:t>
      </w:r>
      <w:r w:rsidRPr="00D40D14">
        <w:rPr>
          <w:color w:val="231F20"/>
        </w:rPr>
        <w:t>savings and between 0.19 to 1.97kW in demand savings in Climate Zones 2-4. Every dollar spent on demand responsive</w:t>
      </w:r>
      <w:r>
        <w:rPr>
          <w:color w:val="231F20"/>
        </w:rPr>
        <w:t xml:space="preserve"> </w:t>
      </w:r>
      <w:r w:rsidRPr="00D40D14">
        <w:rPr>
          <w:color w:val="231F20"/>
        </w:rPr>
        <w:t>thermostats yielded between</w:t>
      </w:r>
      <w:r>
        <w:rPr>
          <w:color w:val="231F20"/>
        </w:rPr>
        <w:t xml:space="preserve"> </w:t>
      </w:r>
      <w:r w:rsidRPr="00D40D14">
        <w:rPr>
          <w:color w:val="231F20"/>
        </w:rPr>
        <w:t>$1.20 to $7 in operating cost savings over a 15-year period for office buildings. In the 10 years</w:t>
      </w:r>
      <w:r>
        <w:rPr>
          <w:color w:val="231F20"/>
        </w:rPr>
        <w:t xml:space="preserve"> </w:t>
      </w:r>
      <w:r w:rsidRPr="00D40D14">
        <w:rPr>
          <w:color w:val="231F20"/>
        </w:rPr>
        <w:t>since, equipment prices have decrease and</w:t>
      </w:r>
      <w:r>
        <w:rPr>
          <w:color w:val="231F20"/>
        </w:rPr>
        <w:t xml:space="preserve"> </w:t>
      </w:r>
      <w:r w:rsidRPr="00D40D14">
        <w:rPr>
          <w:color w:val="231F20"/>
        </w:rPr>
        <w:t>incremental costs are estimated to be only $40 making this measure even more cost</w:t>
      </w:r>
      <w:r>
        <w:rPr>
          <w:color w:val="231F20"/>
        </w:rPr>
        <w:t xml:space="preserve"> </w:t>
      </w:r>
      <w:r w:rsidRPr="00D40D14">
        <w:rPr>
          <w:color w:val="231F20"/>
        </w:rPr>
        <w:t>effective than estimated previously for buildings</w:t>
      </w:r>
      <w:r>
        <w:rPr>
          <w:color w:val="231F20"/>
        </w:rPr>
        <w:t xml:space="preserve"> </w:t>
      </w:r>
      <w:r w:rsidRPr="00D40D14">
        <w:rPr>
          <w:color w:val="231F20"/>
        </w:rPr>
        <w:t>without building management systems. This measure will not only result in cost</w:t>
      </w:r>
      <w:r>
        <w:rPr>
          <w:color w:val="231F20"/>
        </w:rPr>
        <w:t xml:space="preserve"> </w:t>
      </w:r>
      <w:r w:rsidRPr="00D40D14">
        <w:rPr>
          <w:color w:val="231F20"/>
        </w:rPr>
        <w:t>savings for consumers but will also result in other significant</w:t>
      </w:r>
      <w:r>
        <w:rPr>
          <w:color w:val="231F20"/>
        </w:rPr>
        <w:t xml:space="preserve"> </w:t>
      </w:r>
      <w:r w:rsidRPr="00D40D14">
        <w:rPr>
          <w:color w:val="231F20"/>
        </w:rPr>
        <w:t>societal benefits. According to DOE’s report, “A National Roadmap for</w:t>
      </w:r>
      <w:r>
        <w:rPr>
          <w:color w:val="231F20"/>
        </w:rPr>
        <w:t xml:space="preserve"> </w:t>
      </w:r>
      <w:r w:rsidRPr="00D40D14">
        <w:rPr>
          <w:color w:val="231F20"/>
        </w:rPr>
        <w:t>Grid-Interactive Efficient Buildings,” every watt in peak demand savings was found to create 17 cents in annual electric grid system</w:t>
      </w:r>
      <w:r>
        <w:rPr>
          <w:color w:val="231F20"/>
        </w:rPr>
        <w:t xml:space="preserve"> </w:t>
      </w:r>
      <w:r w:rsidRPr="00D40D14">
        <w:rPr>
          <w:color w:val="231F20"/>
        </w:rPr>
        <w:t>value. This value included energy savings, capacity savings,</w:t>
      </w:r>
      <w:r>
        <w:rPr>
          <w:color w:val="231F20"/>
        </w:rPr>
        <w:t xml:space="preserve"> </w:t>
      </w:r>
      <w:r w:rsidRPr="00D40D14">
        <w:rPr>
          <w:color w:val="231F20"/>
        </w:rPr>
        <w:t>transmission deferral and ancillary services. A 10,000 square foot office</w:t>
      </w:r>
      <w:r>
        <w:rPr>
          <w:color w:val="231F20"/>
        </w:rPr>
        <w:t xml:space="preserve"> </w:t>
      </w:r>
      <w:r w:rsidRPr="00D40D14">
        <w:rPr>
          <w:color w:val="231F20"/>
        </w:rPr>
        <w:t>building with a demand responsive thermostat which is estimated</w:t>
      </w:r>
      <w:r>
        <w:rPr>
          <w:color w:val="231F20"/>
        </w:rPr>
        <w:t xml:space="preserve"> </w:t>
      </w:r>
      <w:r w:rsidRPr="00D40D14">
        <w:rPr>
          <w:color w:val="231F20"/>
        </w:rPr>
        <w:t>to reduce peak demand savings between 0.26 to 1.09kW would</w:t>
      </w:r>
      <w:r>
        <w:rPr>
          <w:color w:val="231F20"/>
        </w:rPr>
        <w:t xml:space="preserve"> </w:t>
      </w:r>
      <w:r w:rsidRPr="00D40D14">
        <w:rPr>
          <w:color w:val="231F20"/>
        </w:rPr>
        <w:t>result in $44 to $334 in annual electric grid system value. Demand</w:t>
      </w:r>
      <w:r>
        <w:rPr>
          <w:color w:val="231F20"/>
        </w:rPr>
        <w:t xml:space="preserve"> </w:t>
      </w:r>
      <w:r w:rsidRPr="00D40D14">
        <w:rPr>
          <w:color w:val="231F20"/>
        </w:rPr>
        <w:t>responsive thermostats which allow grid operators to reduce</w:t>
      </w:r>
      <w:r>
        <w:rPr>
          <w:color w:val="231F20"/>
        </w:rPr>
        <w:t xml:space="preserve"> </w:t>
      </w:r>
      <w:r w:rsidRPr="00D40D14">
        <w:rPr>
          <w:color w:val="231F20"/>
        </w:rPr>
        <w:t>demand on the grid during the times when the carbon intensity of the electric</w:t>
      </w:r>
      <w:r>
        <w:rPr>
          <w:color w:val="231F20"/>
        </w:rPr>
        <w:t xml:space="preserve"> </w:t>
      </w:r>
      <w:r w:rsidRPr="00D40D14">
        <w:rPr>
          <w:color w:val="231F20"/>
        </w:rPr>
        <w:t>grid is high also results in reduced carbon emissions</w:t>
      </w:r>
      <w:r>
        <w:rPr>
          <w:color w:val="231F20"/>
        </w:rPr>
        <w:t xml:space="preserve"> </w:t>
      </w:r>
      <w:r w:rsidRPr="00D40D14">
        <w:rPr>
          <w:color w:val="231F20"/>
        </w:rPr>
        <w:t>generating additional significant societal benefits.</w:t>
      </w:r>
    </w:p>
    <w:p w14:paraId="50BF8ED0" w14:textId="77777777" w:rsidR="009F5E63" w:rsidRDefault="009F5E63">
      <w:pPr>
        <w:pStyle w:val="Title"/>
        <w:rPr>
          <w:color w:val="231F20"/>
          <w:spacing w:val="-4"/>
        </w:rPr>
      </w:pPr>
    </w:p>
    <w:p w14:paraId="4596414A" w14:textId="77777777" w:rsidR="009F5E63" w:rsidRDefault="009F5E63">
      <w:pPr>
        <w:pStyle w:val="Title"/>
        <w:rPr>
          <w:color w:val="231F20"/>
          <w:spacing w:val="-4"/>
        </w:rPr>
      </w:pPr>
    </w:p>
    <w:p w14:paraId="120611A6" w14:textId="77777777" w:rsidR="009F5E63" w:rsidRDefault="009F5E63">
      <w:pPr>
        <w:pStyle w:val="Title"/>
        <w:rPr>
          <w:color w:val="231F20"/>
          <w:spacing w:val="-4"/>
        </w:rPr>
      </w:pPr>
    </w:p>
    <w:p w14:paraId="5B0AB4CD" w14:textId="77777777" w:rsidR="009F5E63" w:rsidRDefault="009F5E63">
      <w:pPr>
        <w:pStyle w:val="Title"/>
        <w:rPr>
          <w:color w:val="231F20"/>
          <w:spacing w:val="-4"/>
        </w:rPr>
      </w:pPr>
    </w:p>
    <w:p w14:paraId="23DADF16" w14:textId="77777777" w:rsidR="009F5E63" w:rsidRDefault="009F5E63">
      <w:pPr>
        <w:pStyle w:val="Title"/>
        <w:rPr>
          <w:color w:val="231F20"/>
          <w:spacing w:val="-4"/>
        </w:rPr>
      </w:pPr>
    </w:p>
    <w:p w14:paraId="6EA922BD" w14:textId="77777777" w:rsidR="009F5E63" w:rsidRDefault="009F5E63">
      <w:pPr>
        <w:pStyle w:val="Title"/>
        <w:rPr>
          <w:color w:val="231F20"/>
          <w:spacing w:val="-4"/>
        </w:rPr>
      </w:pPr>
    </w:p>
    <w:p w14:paraId="736B4A31" w14:textId="1EAD0518" w:rsidR="00097E0F" w:rsidRDefault="00993869">
      <w:pPr>
        <w:pStyle w:val="Title"/>
      </w:pPr>
      <w:r>
        <w:rPr>
          <w:color w:val="231F20"/>
          <w:spacing w:val="-4"/>
        </w:rPr>
        <w:lastRenderedPageBreak/>
        <w:t>CEPI-</w:t>
      </w:r>
      <w:r w:rsidR="001A4B84">
        <w:rPr>
          <w:color w:val="231F20"/>
          <w:spacing w:val="-4"/>
        </w:rPr>
        <w:t>99</w:t>
      </w:r>
      <w:r>
        <w:rPr>
          <w:color w:val="231F20"/>
          <w:spacing w:val="-4"/>
        </w:rPr>
        <w:t>-</w:t>
      </w:r>
      <w:r>
        <w:rPr>
          <w:color w:val="231F20"/>
          <w:spacing w:val="-5"/>
        </w:rPr>
        <w:t>21</w:t>
      </w:r>
    </w:p>
    <w:p w14:paraId="736B4A32" w14:textId="1D7DA3CB" w:rsidR="00097E0F" w:rsidRDefault="00993869">
      <w:pPr>
        <w:pStyle w:val="Heading1"/>
        <w:spacing w:before="295"/>
      </w:pPr>
      <w:r>
        <w:rPr>
          <w:color w:val="231F20"/>
        </w:rPr>
        <w:t>IECC®:</w:t>
      </w:r>
      <w:r>
        <w:rPr>
          <w:color w:val="231F20"/>
          <w:spacing w:val="-4"/>
        </w:rPr>
        <w:t xml:space="preserve"> </w:t>
      </w:r>
      <w:r>
        <w:rPr>
          <w:color w:val="231F20"/>
        </w:rPr>
        <w:t>SECTION</w:t>
      </w:r>
      <w:r>
        <w:rPr>
          <w:color w:val="231F20"/>
          <w:spacing w:val="3"/>
        </w:rPr>
        <w:t xml:space="preserve"> </w:t>
      </w:r>
      <w:r>
        <w:rPr>
          <w:color w:val="231F20"/>
        </w:rPr>
        <w:t>202</w:t>
      </w:r>
      <w:r>
        <w:rPr>
          <w:color w:val="231F20"/>
          <w:spacing w:val="3"/>
        </w:rPr>
        <w:t xml:space="preserve"> </w:t>
      </w:r>
      <w:r>
        <w:rPr>
          <w:color w:val="231F20"/>
        </w:rPr>
        <w:t>(New),</w:t>
      </w:r>
      <w:r>
        <w:rPr>
          <w:color w:val="231F20"/>
          <w:spacing w:val="-7"/>
        </w:rPr>
        <w:t xml:space="preserve"> </w:t>
      </w:r>
      <w:r>
        <w:rPr>
          <w:color w:val="231F20"/>
        </w:rPr>
        <w:t>C40</w:t>
      </w:r>
      <w:r w:rsidR="00492ACB">
        <w:rPr>
          <w:color w:val="231F20"/>
        </w:rPr>
        <w:t>3.4.</w:t>
      </w:r>
      <w:r>
        <w:rPr>
          <w:color w:val="231F20"/>
        </w:rPr>
        <w:t>1</w:t>
      </w:r>
      <w:r w:rsidR="00492ACB">
        <w:rPr>
          <w:color w:val="231F20"/>
        </w:rPr>
        <w:t>.6</w:t>
      </w:r>
      <w:r>
        <w:rPr>
          <w:color w:val="231F20"/>
          <w:spacing w:val="3"/>
        </w:rPr>
        <w:t xml:space="preserve"> </w:t>
      </w:r>
      <w:r>
        <w:rPr>
          <w:color w:val="231F20"/>
        </w:rPr>
        <w:t>(New)</w:t>
      </w:r>
    </w:p>
    <w:p w14:paraId="736B4A33" w14:textId="77777777" w:rsidR="00097E0F" w:rsidRDefault="00097E0F">
      <w:pPr>
        <w:pStyle w:val="BodyText"/>
        <w:spacing w:before="6"/>
        <w:rPr>
          <w:b/>
        </w:rPr>
      </w:pPr>
    </w:p>
    <w:p w14:paraId="736B4A34" w14:textId="77777777" w:rsidR="00097E0F" w:rsidRDefault="00993869">
      <w:pPr>
        <w:ind w:left="100"/>
        <w:rPr>
          <w:b/>
          <w:sz w:val="18"/>
        </w:rPr>
      </w:pPr>
      <w:r>
        <w:rPr>
          <w:b/>
          <w:color w:val="231F20"/>
          <w:spacing w:val="-2"/>
          <w:sz w:val="18"/>
        </w:rPr>
        <w:t>Proponents:</w:t>
      </w:r>
    </w:p>
    <w:p w14:paraId="736B4A35" w14:textId="77777777" w:rsidR="00097E0F" w:rsidRDefault="00097E0F">
      <w:pPr>
        <w:pStyle w:val="BodyText"/>
        <w:spacing w:before="6"/>
        <w:rPr>
          <w:b/>
        </w:rPr>
      </w:pPr>
    </w:p>
    <w:p w14:paraId="40B5FC42" w14:textId="21A58383" w:rsidR="00492ACB" w:rsidRPr="00492ACB" w:rsidRDefault="00492ACB" w:rsidP="00492ACB">
      <w:pPr>
        <w:pStyle w:val="BodyText"/>
        <w:spacing w:line="278" w:lineRule="auto"/>
        <w:ind w:left="100" w:right="190"/>
        <w:rPr>
          <w:color w:val="231F20"/>
        </w:rPr>
      </w:pPr>
      <w:r w:rsidRPr="00492ACB">
        <w:rPr>
          <w:color w:val="231F20"/>
        </w:rPr>
        <w:t>Kim Cheslak, NBI, representing NBI (kim@newbuildings.org); Josh Keeling, representing Cadeo Group (jkeeling@cadeogroup.com);</w:t>
      </w:r>
    </w:p>
    <w:p w14:paraId="209B520F" w14:textId="77777777" w:rsidR="00492ACB" w:rsidRPr="00492ACB" w:rsidRDefault="00492ACB" w:rsidP="00492ACB">
      <w:pPr>
        <w:pStyle w:val="BodyText"/>
        <w:spacing w:line="278" w:lineRule="auto"/>
        <w:ind w:left="100" w:right="190"/>
        <w:rPr>
          <w:color w:val="231F20"/>
        </w:rPr>
      </w:pPr>
      <w:r w:rsidRPr="00492ACB">
        <w:rPr>
          <w:color w:val="231F20"/>
        </w:rPr>
        <w:t>Ben Rabe, representing Fresh Energy (rabe@fresh-energy.org); Bryan Bomer, representing Department of Permitting Services</w:t>
      </w:r>
    </w:p>
    <w:p w14:paraId="01A7DA60" w14:textId="77777777" w:rsidR="00492ACB" w:rsidRPr="00492ACB" w:rsidRDefault="00492ACB" w:rsidP="00492ACB">
      <w:pPr>
        <w:pStyle w:val="BodyText"/>
        <w:spacing w:line="278" w:lineRule="auto"/>
        <w:ind w:left="100" w:right="190"/>
        <w:rPr>
          <w:color w:val="231F20"/>
        </w:rPr>
      </w:pPr>
      <w:r w:rsidRPr="00492ACB">
        <w:rPr>
          <w:color w:val="231F20"/>
        </w:rPr>
        <w:t>(bryan.bomer@montgomerycountymd.gov); Lauren Urbanek, representing Natural Resources Defense Council (lurbanek@nrdc.org);</w:t>
      </w:r>
    </w:p>
    <w:p w14:paraId="1F714EF2" w14:textId="77777777" w:rsidR="00492ACB" w:rsidRPr="00492ACB" w:rsidRDefault="00492ACB" w:rsidP="00492ACB">
      <w:pPr>
        <w:pStyle w:val="BodyText"/>
        <w:spacing w:line="278" w:lineRule="auto"/>
        <w:ind w:left="100" w:right="190"/>
        <w:rPr>
          <w:color w:val="231F20"/>
        </w:rPr>
      </w:pPr>
      <w:r w:rsidRPr="00492ACB">
        <w:rPr>
          <w:color w:val="231F20"/>
        </w:rPr>
        <w:t>Howard Wiig, representing Hawaii State Energy Office (howard.c.wiig@hawaii.gov); Kim Burke, representing Colorado Energy Office</w:t>
      </w:r>
    </w:p>
    <w:p w14:paraId="58EE6AFD" w14:textId="77777777" w:rsidR="00492ACB" w:rsidRPr="00492ACB" w:rsidRDefault="00492ACB" w:rsidP="00492ACB">
      <w:pPr>
        <w:pStyle w:val="BodyText"/>
        <w:spacing w:line="278" w:lineRule="auto"/>
        <w:ind w:left="100" w:right="190"/>
        <w:rPr>
          <w:color w:val="231F20"/>
        </w:rPr>
      </w:pPr>
      <w:r w:rsidRPr="00492ACB">
        <w:rPr>
          <w:color w:val="231F20"/>
        </w:rPr>
        <w:t>(kim.burke@state.co.us); Brad Smith, representing City of Fort Collins (brsmith@fcgov.com); Matt Tidwell, representing Portland</w:t>
      </w:r>
    </w:p>
    <w:p w14:paraId="4D8B3F6B" w14:textId="77777777" w:rsidR="00492ACB" w:rsidRPr="00492ACB" w:rsidRDefault="00492ACB" w:rsidP="00492ACB">
      <w:pPr>
        <w:pStyle w:val="BodyText"/>
        <w:spacing w:line="278" w:lineRule="auto"/>
        <w:ind w:left="100" w:right="190"/>
        <w:rPr>
          <w:color w:val="231F20"/>
        </w:rPr>
      </w:pPr>
      <w:r w:rsidRPr="00492ACB">
        <w:rPr>
          <w:color w:val="231F20"/>
        </w:rPr>
        <w:t>General Electric (matthew.tidwell@pgn.com); Chris Castro, representing City of Orlando (chris.castro@orlando.gov); Amber Wood,</w:t>
      </w:r>
    </w:p>
    <w:p w14:paraId="736B4A36" w14:textId="65B300D2" w:rsidR="00097E0F" w:rsidRDefault="00492ACB" w:rsidP="00492ACB">
      <w:pPr>
        <w:pStyle w:val="BodyText"/>
        <w:spacing w:line="278" w:lineRule="auto"/>
        <w:ind w:left="100" w:right="190"/>
      </w:pPr>
      <w:r w:rsidRPr="00492ACB">
        <w:rPr>
          <w:color w:val="231F20"/>
        </w:rPr>
        <w:t>representing ACEEE (awood@aceee.org)</w:t>
      </w:r>
    </w:p>
    <w:p w14:paraId="736B4A37" w14:textId="77777777" w:rsidR="00097E0F" w:rsidRDefault="00097E0F">
      <w:pPr>
        <w:pStyle w:val="BodyText"/>
        <w:spacing w:before="4"/>
      </w:pPr>
    </w:p>
    <w:p w14:paraId="736B4A38" w14:textId="77777777" w:rsidR="00097E0F" w:rsidRDefault="00993869">
      <w:pPr>
        <w:ind w:left="100"/>
        <w:rPr>
          <w:b/>
          <w:sz w:val="21"/>
        </w:rPr>
      </w:pPr>
      <w:r>
        <w:rPr>
          <w:b/>
          <w:color w:val="231F20"/>
          <w:sz w:val="21"/>
        </w:rPr>
        <w:t>2021</w:t>
      </w:r>
      <w:r>
        <w:rPr>
          <w:b/>
          <w:color w:val="231F20"/>
          <w:spacing w:val="22"/>
          <w:sz w:val="21"/>
        </w:rPr>
        <w:t xml:space="preserve"> </w:t>
      </w:r>
      <w:r>
        <w:rPr>
          <w:b/>
          <w:color w:val="231F20"/>
          <w:sz w:val="21"/>
        </w:rPr>
        <w:t>International</w:t>
      </w:r>
      <w:r>
        <w:rPr>
          <w:b/>
          <w:color w:val="231F20"/>
          <w:spacing w:val="22"/>
          <w:sz w:val="21"/>
        </w:rPr>
        <w:t xml:space="preserve"> </w:t>
      </w:r>
      <w:r>
        <w:rPr>
          <w:b/>
          <w:color w:val="231F20"/>
          <w:sz w:val="21"/>
        </w:rPr>
        <w:t>Energy</w:t>
      </w:r>
      <w:r>
        <w:rPr>
          <w:b/>
          <w:color w:val="231F20"/>
          <w:spacing w:val="23"/>
          <w:sz w:val="21"/>
        </w:rPr>
        <w:t xml:space="preserve"> </w:t>
      </w:r>
      <w:r>
        <w:rPr>
          <w:b/>
          <w:color w:val="231F20"/>
          <w:sz w:val="21"/>
        </w:rPr>
        <w:t>Conservation</w:t>
      </w:r>
      <w:r>
        <w:rPr>
          <w:b/>
          <w:color w:val="231F20"/>
          <w:spacing w:val="28"/>
          <w:sz w:val="21"/>
        </w:rPr>
        <w:t xml:space="preserve"> </w:t>
      </w:r>
      <w:r>
        <w:rPr>
          <w:b/>
          <w:color w:val="231F20"/>
          <w:spacing w:val="-4"/>
          <w:sz w:val="21"/>
        </w:rPr>
        <w:t>Code</w:t>
      </w:r>
    </w:p>
    <w:p w14:paraId="736B4A39" w14:textId="77777777" w:rsidR="00097E0F" w:rsidRDefault="00097E0F">
      <w:pPr>
        <w:pStyle w:val="BodyText"/>
        <w:spacing w:before="10"/>
        <w:rPr>
          <w:b/>
          <w:sz w:val="21"/>
        </w:rPr>
      </w:pPr>
    </w:p>
    <w:p w14:paraId="736B4A3A" w14:textId="77777777" w:rsidR="00097E0F" w:rsidRDefault="00993869">
      <w:pPr>
        <w:pStyle w:val="Heading1"/>
      </w:pPr>
      <w:r>
        <w:rPr>
          <w:color w:val="231F20"/>
          <w:spacing w:val="-2"/>
        </w:rPr>
        <w:t>Add</w:t>
      </w:r>
      <w:r>
        <w:rPr>
          <w:color w:val="231F20"/>
          <w:spacing w:val="-8"/>
        </w:rPr>
        <w:t xml:space="preserve"> </w:t>
      </w:r>
      <w:r>
        <w:rPr>
          <w:color w:val="231F20"/>
          <w:spacing w:val="-2"/>
        </w:rPr>
        <w:t>new</w:t>
      </w:r>
      <w:r>
        <w:rPr>
          <w:color w:val="231F20"/>
          <w:spacing w:val="-7"/>
        </w:rPr>
        <w:t xml:space="preserve"> </w:t>
      </w:r>
      <w:r>
        <w:rPr>
          <w:color w:val="231F20"/>
          <w:spacing w:val="-2"/>
        </w:rPr>
        <w:t>definition</w:t>
      </w:r>
      <w:r>
        <w:rPr>
          <w:color w:val="231F20"/>
          <w:spacing w:val="-7"/>
        </w:rPr>
        <w:t xml:space="preserve"> </w:t>
      </w:r>
      <w:r>
        <w:rPr>
          <w:color w:val="231F20"/>
          <w:spacing w:val="-2"/>
        </w:rPr>
        <w:t>as</w:t>
      </w:r>
      <w:r>
        <w:rPr>
          <w:color w:val="231F20"/>
          <w:spacing w:val="3"/>
        </w:rPr>
        <w:t xml:space="preserve"> </w:t>
      </w:r>
      <w:r>
        <w:rPr>
          <w:color w:val="231F20"/>
          <w:spacing w:val="-2"/>
        </w:rPr>
        <w:t>follows:</w:t>
      </w:r>
    </w:p>
    <w:p w14:paraId="736B4A3B" w14:textId="77777777" w:rsidR="00097E0F" w:rsidRPr="00C663AA" w:rsidRDefault="00993869">
      <w:pPr>
        <w:pStyle w:val="BodyText"/>
        <w:spacing w:before="33"/>
        <w:ind w:left="100"/>
        <w:rPr>
          <w:strike/>
        </w:rPr>
      </w:pPr>
      <w:r w:rsidRPr="00C663AA">
        <w:rPr>
          <w:strike/>
          <w:u w:val="single" w:color="231F20"/>
        </w:rPr>
        <w:t>C202</w:t>
      </w:r>
      <w:r w:rsidRPr="00C663AA">
        <w:rPr>
          <w:strike/>
          <w:spacing w:val="-3"/>
          <w:u w:val="single" w:color="231F20"/>
        </w:rPr>
        <w:t xml:space="preserve"> </w:t>
      </w:r>
      <w:r w:rsidRPr="00C663AA">
        <w:rPr>
          <w:strike/>
          <w:u w:val="single" w:color="231F20"/>
        </w:rPr>
        <w:t>GRID-INTEGRATED</w:t>
      </w:r>
      <w:r w:rsidRPr="00C663AA">
        <w:rPr>
          <w:strike/>
          <w:spacing w:val="-3"/>
          <w:u w:val="single" w:color="231F20"/>
        </w:rPr>
        <w:t xml:space="preserve"> </w:t>
      </w:r>
      <w:r w:rsidRPr="00C663AA">
        <w:rPr>
          <w:strike/>
          <w:spacing w:val="-2"/>
          <w:u w:val="single" w:color="231F20"/>
        </w:rPr>
        <w:t>CONTROL</w:t>
      </w:r>
      <w:r w:rsidRPr="00C663AA">
        <w:rPr>
          <w:strike/>
          <w:spacing w:val="-2"/>
        </w:rPr>
        <w:t>.</w:t>
      </w:r>
    </w:p>
    <w:p w14:paraId="736B4A3C" w14:textId="77777777" w:rsidR="00097E0F" w:rsidRPr="00C663AA" w:rsidRDefault="00097E0F">
      <w:pPr>
        <w:pStyle w:val="BodyText"/>
        <w:spacing w:before="6"/>
        <w:rPr>
          <w:strike/>
        </w:rPr>
      </w:pPr>
    </w:p>
    <w:p w14:paraId="736B4A3D" w14:textId="592AA429" w:rsidR="00097E0F" w:rsidRPr="00C663AA" w:rsidRDefault="00993869">
      <w:pPr>
        <w:pStyle w:val="BodyText"/>
        <w:spacing w:line="278" w:lineRule="auto"/>
        <w:ind w:left="100"/>
        <w:rPr>
          <w:strike/>
          <w:u w:val="single" w:color="231F20"/>
        </w:rPr>
      </w:pPr>
      <w:r w:rsidRPr="00C663AA">
        <w:rPr>
          <w:strike/>
          <w:u w:val="single" w:color="231F20"/>
        </w:rPr>
        <w:t>An automatic control that</w:t>
      </w:r>
      <w:r w:rsidRPr="00C663AA">
        <w:rPr>
          <w:strike/>
          <w:spacing w:val="-3"/>
          <w:u w:val="single" w:color="231F20"/>
        </w:rPr>
        <w:t xml:space="preserve"> </w:t>
      </w:r>
      <w:r w:rsidRPr="00C663AA">
        <w:rPr>
          <w:strike/>
          <w:u w:val="single" w:color="231F20"/>
        </w:rPr>
        <w:t>can receive,</w:t>
      </w:r>
      <w:r w:rsidRPr="00C663AA">
        <w:rPr>
          <w:strike/>
          <w:spacing w:val="-3"/>
          <w:u w:val="single" w:color="231F20"/>
        </w:rPr>
        <w:t xml:space="preserve"> </w:t>
      </w:r>
      <w:r w:rsidRPr="00C663AA">
        <w:rPr>
          <w:strike/>
          <w:u w:val="single" w:color="231F20"/>
        </w:rPr>
        <w:t>automatically respond to demand response requests from and send information back to a utility,</w:t>
      </w:r>
      <w:r w:rsidRPr="00C663AA">
        <w:rPr>
          <w:strike/>
        </w:rPr>
        <w:t xml:space="preserve"> </w:t>
      </w:r>
      <w:r w:rsidRPr="00C663AA">
        <w:rPr>
          <w:strike/>
          <w:u w:val="single" w:color="231F20"/>
        </w:rPr>
        <w:t>electrical system operator, or third-party demand response program provider.</w:t>
      </w:r>
    </w:p>
    <w:p w14:paraId="53E893B5" w14:textId="1C77664A" w:rsidR="005E4E6B" w:rsidRPr="00C663AA" w:rsidRDefault="005E4E6B">
      <w:pPr>
        <w:pStyle w:val="BodyText"/>
        <w:spacing w:line="278" w:lineRule="auto"/>
        <w:ind w:left="100"/>
        <w:rPr>
          <w:u w:val="single" w:color="231F20"/>
        </w:rPr>
      </w:pPr>
    </w:p>
    <w:p w14:paraId="1C36FC4B" w14:textId="2C46F2B1" w:rsidR="005E4E6B" w:rsidRPr="00C663AA" w:rsidRDefault="005E4E6B" w:rsidP="005E4E6B">
      <w:pPr>
        <w:pStyle w:val="BodyText"/>
        <w:spacing w:line="278" w:lineRule="auto"/>
        <w:ind w:left="100"/>
        <w:rPr>
          <w:u w:val="single"/>
        </w:rPr>
      </w:pPr>
      <w:r w:rsidRPr="00C663AA">
        <w:rPr>
          <w:u w:val="single"/>
        </w:rPr>
        <w:t xml:space="preserve">DEMAND RESPONSE SIGNAL. A signal that indicates a price or a request to modify electricity consumption for a limited time period. </w:t>
      </w:r>
    </w:p>
    <w:p w14:paraId="04799527" w14:textId="77777777" w:rsidR="005E4E6B" w:rsidRPr="00C663AA" w:rsidRDefault="005E4E6B" w:rsidP="005E4E6B">
      <w:pPr>
        <w:pStyle w:val="BodyText"/>
        <w:spacing w:line="278" w:lineRule="auto"/>
        <w:ind w:left="100"/>
        <w:rPr>
          <w:u w:val="single"/>
        </w:rPr>
      </w:pPr>
    </w:p>
    <w:p w14:paraId="2B9BEF10" w14:textId="475BACB8" w:rsidR="005E4E6B" w:rsidRPr="00C663AA" w:rsidRDefault="005E4E6B" w:rsidP="005E4E6B">
      <w:pPr>
        <w:pStyle w:val="BodyText"/>
        <w:spacing w:line="278" w:lineRule="auto"/>
        <w:ind w:left="100"/>
        <w:rPr>
          <w:u w:val="single"/>
        </w:rPr>
      </w:pPr>
      <w:r w:rsidRPr="00C663AA">
        <w:rPr>
          <w:u w:val="single"/>
        </w:rPr>
        <w:t>DEMAND RESPONSIVE CONTROL. A control capable of receiving and automatically responding to a demand response signal.</w:t>
      </w:r>
    </w:p>
    <w:p w14:paraId="736B4A3E" w14:textId="77777777" w:rsidR="00097E0F" w:rsidRDefault="00097E0F">
      <w:pPr>
        <w:pStyle w:val="BodyText"/>
        <w:spacing w:before="8"/>
        <w:rPr>
          <w:sz w:val="9"/>
        </w:rPr>
      </w:pPr>
    </w:p>
    <w:p w14:paraId="736B4A3F" w14:textId="77777777" w:rsidR="00097E0F" w:rsidRDefault="00993869">
      <w:pPr>
        <w:pStyle w:val="Heading1"/>
        <w:spacing w:before="69"/>
      </w:pPr>
      <w:r>
        <w:rPr>
          <w:color w:val="231F20"/>
        </w:rPr>
        <w:t>Add</w:t>
      </w:r>
      <w:r>
        <w:rPr>
          <w:color w:val="231F20"/>
          <w:spacing w:val="-8"/>
        </w:rPr>
        <w:t xml:space="preserve"> </w:t>
      </w:r>
      <w:r>
        <w:rPr>
          <w:color w:val="231F20"/>
        </w:rPr>
        <w:t>new</w:t>
      </w:r>
      <w:r>
        <w:rPr>
          <w:color w:val="231F20"/>
          <w:spacing w:val="-8"/>
        </w:rPr>
        <w:t xml:space="preserve"> </w:t>
      </w:r>
      <w:r>
        <w:rPr>
          <w:color w:val="231F20"/>
        </w:rPr>
        <w:t>text</w:t>
      </w:r>
      <w:r>
        <w:rPr>
          <w:color w:val="231F20"/>
          <w:spacing w:val="-2"/>
        </w:rPr>
        <w:t xml:space="preserve"> </w:t>
      </w:r>
      <w:r>
        <w:rPr>
          <w:color w:val="231F20"/>
        </w:rPr>
        <w:t>as</w:t>
      </w:r>
      <w:r>
        <w:rPr>
          <w:color w:val="231F20"/>
          <w:spacing w:val="2"/>
        </w:rPr>
        <w:t xml:space="preserve"> </w:t>
      </w:r>
      <w:r>
        <w:rPr>
          <w:color w:val="231F20"/>
          <w:spacing w:val="-2"/>
        </w:rPr>
        <w:t>follows:</w:t>
      </w:r>
    </w:p>
    <w:p w14:paraId="6AEE5D74" w14:textId="405729FB" w:rsidR="004B60AB" w:rsidRDefault="006B6EB7" w:rsidP="004B60AB">
      <w:pPr>
        <w:pStyle w:val="Heading1"/>
        <w:spacing w:before="150"/>
        <w:rPr>
          <w:b w:val="0"/>
          <w:bCs w:val="0"/>
          <w:color w:val="231F20"/>
          <w:u w:val="single" w:color="231F20"/>
        </w:rPr>
      </w:pPr>
      <w:r w:rsidRPr="006B6EB7">
        <w:rPr>
          <w:b w:val="0"/>
          <w:bCs w:val="0"/>
          <w:color w:val="231F20"/>
          <w:u w:val="single" w:color="231F20"/>
        </w:rPr>
        <w:t>Add new text as follows:</w:t>
      </w:r>
      <w:r w:rsidRPr="006B6EB7">
        <w:rPr>
          <w:b w:val="0"/>
          <w:bCs w:val="0"/>
          <w:color w:val="231F20"/>
          <w:u w:val="single" w:color="231F20"/>
        </w:rPr>
        <w:br/>
        <w:t xml:space="preserve">C403.4.1.6 </w:t>
      </w:r>
      <w:r w:rsidR="000C1D35" w:rsidRPr="000C1D35">
        <w:rPr>
          <w:b w:val="0"/>
          <w:bCs w:val="0"/>
          <w:color w:val="231F20"/>
          <w:highlight w:val="yellow"/>
          <w:u w:val="single" w:color="231F20"/>
        </w:rPr>
        <w:t xml:space="preserve">Demand </w:t>
      </w:r>
      <w:proofErr w:type="spellStart"/>
      <w:r w:rsidR="000C1D35" w:rsidRPr="000C1D35">
        <w:rPr>
          <w:b w:val="0"/>
          <w:bCs w:val="0"/>
          <w:color w:val="231F20"/>
          <w:highlight w:val="yellow"/>
          <w:u w:val="single" w:color="231F20"/>
        </w:rPr>
        <w:t>Responsive</w:t>
      </w:r>
      <w:r w:rsidRPr="000C1D35">
        <w:rPr>
          <w:b w:val="0"/>
          <w:bCs w:val="0"/>
          <w:strike/>
          <w:color w:val="231F20"/>
          <w:highlight w:val="yellow"/>
          <w:u w:val="single" w:color="231F20"/>
        </w:rPr>
        <w:t>Grid</w:t>
      </w:r>
      <w:proofErr w:type="spellEnd"/>
      <w:r w:rsidRPr="000C1D35">
        <w:rPr>
          <w:b w:val="0"/>
          <w:bCs w:val="0"/>
          <w:strike/>
          <w:color w:val="231F20"/>
          <w:highlight w:val="yellow"/>
          <w:u w:val="single" w:color="231F20"/>
        </w:rPr>
        <w:t>-Integrated</w:t>
      </w:r>
      <w:r w:rsidRPr="006B6EB7">
        <w:rPr>
          <w:b w:val="0"/>
          <w:bCs w:val="0"/>
          <w:color w:val="231F20"/>
          <w:u w:val="single" w:color="231F20"/>
        </w:rPr>
        <w:t xml:space="preserve"> Controls.</w:t>
      </w:r>
      <w:r w:rsidRPr="006B6EB7">
        <w:rPr>
          <w:b w:val="0"/>
          <w:bCs w:val="0"/>
          <w:color w:val="231F20"/>
          <w:u w:val="single" w:color="231F20"/>
        </w:rPr>
        <w:br/>
        <w:t xml:space="preserve">All thermostatic controls shall be provided with </w:t>
      </w:r>
      <w:r w:rsidR="00722F3E" w:rsidRPr="00722F3E">
        <w:rPr>
          <w:b w:val="0"/>
          <w:bCs w:val="0"/>
          <w:color w:val="231F20"/>
          <w:highlight w:val="yellow"/>
          <w:u w:val="single" w:color="231F20"/>
        </w:rPr>
        <w:t xml:space="preserve">demand </w:t>
      </w:r>
      <w:proofErr w:type="spellStart"/>
      <w:r w:rsidR="00722F3E" w:rsidRPr="00722F3E">
        <w:rPr>
          <w:b w:val="0"/>
          <w:bCs w:val="0"/>
          <w:color w:val="231F20"/>
          <w:highlight w:val="yellow"/>
          <w:u w:val="single" w:color="231F20"/>
        </w:rPr>
        <w:t>responsive</w:t>
      </w:r>
      <w:r w:rsidRPr="00722F3E">
        <w:rPr>
          <w:b w:val="0"/>
          <w:bCs w:val="0"/>
          <w:strike/>
          <w:color w:val="231F20"/>
          <w:u w:val="single" w:color="231F20"/>
        </w:rPr>
        <w:t>grid</w:t>
      </w:r>
      <w:proofErr w:type="spellEnd"/>
      <w:r w:rsidRPr="00722F3E">
        <w:rPr>
          <w:b w:val="0"/>
          <w:bCs w:val="0"/>
          <w:strike/>
          <w:color w:val="231F20"/>
          <w:u w:val="single" w:color="231F20"/>
        </w:rPr>
        <w:t>-integrated</w:t>
      </w:r>
      <w:r w:rsidRPr="006B6EB7">
        <w:rPr>
          <w:b w:val="0"/>
          <w:bCs w:val="0"/>
          <w:color w:val="231F20"/>
          <w:u w:val="single" w:color="231F20"/>
        </w:rPr>
        <w:t xml:space="preserve"> controls capable of the following:</w:t>
      </w:r>
    </w:p>
    <w:p w14:paraId="413585C8" w14:textId="77777777" w:rsidR="004B60AB" w:rsidRPr="004B60AB" w:rsidRDefault="006B6EB7" w:rsidP="00C663AA">
      <w:pPr>
        <w:pStyle w:val="Heading1"/>
        <w:numPr>
          <w:ilvl w:val="0"/>
          <w:numId w:val="9"/>
        </w:numPr>
        <w:spacing w:before="150"/>
        <w:ind w:left="720"/>
        <w:rPr>
          <w:b w:val="0"/>
          <w:bCs w:val="0"/>
          <w:strike/>
          <w:color w:val="231F20"/>
          <w:u w:val="single" w:color="231F20"/>
        </w:rPr>
      </w:pPr>
      <w:r w:rsidRPr="004B60AB">
        <w:rPr>
          <w:b w:val="0"/>
          <w:bCs w:val="0"/>
          <w:color w:val="231F20"/>
          <w:u w:val="single" w:color="231F20"/>
        </w:rPr>
        <w:t>Automatically increasing the zone operating cooling set point by a minimum of 4°F (2.2°C)</w:t>
      </w:r>
    </w:p>
    <w:p w14:paraId="761418E4" w14:textId="77777777" w:rsidR="004B60AB" w:rsidRPr="004B60AB" w:rsidRDefault="006B6EB7" w:rsidP="00C663AA">
      <w:pPr>
        <w:pStyle w:val="Heading1"/>
        <w:numPr>
          <w:ilvl w:val="0"/>
          <w:numId w:val="9"/>
        </w:numPr>
        <w:spacing w:before="150"/>
        <w:ind w:left="720"/>
        <w:rPr>
          <w:b w:val="0"/>
          <w:bCs w:val="0"/>
          <w:strike/>
          <w:color w:val="231F20"/>
          <w:u w:val="single" w:color="231F20"/>
        </w:rPr>
      </w:pPr>
      <w:r w:rsidRPr="004B60AB">
        <w:rPr>
          <w:b w:val="0"/>
          <w:bCs w:val="0"/>
          <w:color w:val="231F20"/>
          <w:u w:val="single" w:color="231F20"/>
        </w:rPr>
        <w:t>Automatically decreasing the zone operating heating set point by a minimum of 4°F (2.2°C)</w:t>
      </w:r>
    </w:p>
    <w:p w14:paraId="25615242" w14:textId="77777777" w:rsidR="004B60AB" w:rsidRPr="001B19B1" w:rsidRDefault="006B6EB7" w:rsidP="00C663AA">
      <w:pPr>
        <w:pStyle w:val="Heading1"/>
        <w:numPr>
          <w:ilvl w:val="0"/>
          <w:numId w:val="9"/>
        </w:numPr>
        <w:spacing w:before="150"/>
        <w:ind w:left="720"/>
        <w:rPr>
          <w:b w:val="0"/>
          <w:bCs w:val="0"/>
          <w:strike/>
          <w:color w:val="231F20"/>
          <w:highlight w:val="yellow"/>
          <w:u w:val="single" w:color="231F20"/>
        </w:rPr>
      </w:pPr>
      <w:r w:rsidRPr="001B19B1">
        <w:rPr>
          <w:b w:val="0"/>
          <w:bCs w:val="0"/>
          <w:strike/>
          <w:color w:val="231F20"/>
          <w:highlight w:val="yellow"/>
          <w:u w:val="single" w:color="231F20"/>
        </w:rPr>
        <w:t>Automatically decreasing the zone operating cooling set point by a minimum of 2°F (1.1°C)</w:t>
      </w:r>
    </w:p>
    <w:p w14:paraId="4DD03F0C" w14:textId="77777777" w:rsidR="004B60AB" w:rsidRPr="001B19B1" w:rsidRDefault="006B6EB7" w:rsidP="00C663AA">
      <w:pPr>
        <w:pStyle w:val="Heading1"/>
        <w:numPr>
          <w:ilvl w:val="0"/>
          <w:numId w:val="9"/>
        </w:numPr>
        <w:spacing w:before="150"/>
        <w:ind w:left="720"/>
        <w:rPr>
          <w:b w:val="0"/>
          <w:bCs w:val="0"/>
          <w:strike/>
          <w:color w:val="231F20"/>
          <w:highlight w:val="yellow"/>
          <w:u w:val="single" w:color="231F20"/>
        </w:rPr>
      </w:pPr>
      <w:r w:rsidRPr="001B19B1">
        <w:rPr>
          <w:b w:val="0"/>
          <w:bCs w:val="0"/>
          <w:strike/>
          <w:color w:val="231F20"/>
          <w:highlight w:val="yellow"/>
          <w:u w:val="single" w:color="231F20"/>
        </w:rPr>
        <w:t>Automatically increasing the zone operation heating set point by a minimum of 2°F (1.1°C)</w:t>
      </w:r>
    </w:p>
    <w:p w14:paraId="024A7C80" w14:textId="72554F4D" w:rsidR="004B60AB" w:rsidRPr="00D732EF" w:rsidRDefault="006B6EB7" w:rsidP="00C663AA">
      <w:pPr>
        <w:pStyle w:val="Heading1"/>
        <w:numPr>
          <w:ilvl w:val="0"/>
          <w:numId w:val="9"/>
        </w:numPr>
        <w:spacing w:before="150"/>
        <w:ind w:left="720"/>
        <w:rPr>
          <w:b w:val="0"/>
          <w:bCs w:val="0"/>
          <w:strike/>
          <w:color w:val="231F20"/>
          <w:highlight w:val="yellow"/>
          <w:u w:val="single" w:color="231F20"/>
        </w:rPr>
      </w:pPr>
      <w:r w:rsidRPr="00D732EF">
        <w:rPr>
          <w:b w:val="0"/>
          <w:bCs w:val="0"/>
          <w:strike/>
          <w:color w:val="231F20"/>
          <w:highlight w:val="yellow"/>
          <w:u w:val="single" w:color="231F20"/>
        </w:rPr>
        <w:t>Both ramp-up and ramp-down logic to prevent the building peak demand from exceeding that expected without the DR</w:t>
      </w:r>
      <w:r w:rsidRPr="00D732EF">
        <w:rPr>
          <w:b w:val="0"/>
          <w:bCs w:val="0"/>
          <w:strike/>
          <w:color w:val="231F20"/>
          <w:highlight w:val="yellow"/>
          <w:u w:val="single" w:color="231F20"/>
        </w:rPr>
        <w:br/>
        <w:t>implementation.</w:t>
      </w:r>
    </w:p>
    <w:p w14:paraId="59870750" w14:textId="470768C1" w:rsidR="00F63597" w:rsidRDefault="006B6EB7" w:rsidP="004B60AB">
      <w:pPr>
        <w:pStyle w:val="Heading1"/>
        <w:spacing w:before="150"/>
        <w:rPr>
          <w:b w:val="0"/>
          <w:bCs w:val="0"/>
          <w:strike/>
          <w:color w:val="231F20"/>
          <w:u w:val="single" w:color="231F20"/>
        </w:rPr>
      </w:pPr>
      <w:r w:rsidRPr="00D732EF">
        <w:rPr>
          <w:b w:val="0"/>
          <w:bCs w:val="0"/>
          <w:strike/>
          <w:color w:val="231F20"/>
          <w:highlight w:val="yellow"/>
          <w:u w:val="single" w:color="231F20"/>
        </w:rPr>
        <w:t>The thermostatic controls shall be capable of performing all other functions provided by the control when the grid-</w:t>
      </w:r>
      <w:r w:rsidRPr="00D732EF">
        <w:rPr>
          <w:b w:val="0"/>
          <w:bCs w:val="0"/>
          <w:strike/>
          <w:color w:val="231F20"/>
          <w:highlight w:val="yellow"/>
          <w:u w:val="single" w:color="231F20"/>
        </w:rPr>
        <w:br/>
        <w:t>integrated controls are not available. Systems with direct digital control of individual zones reporting to a central control panel shall be</w:t>
      </w:r>
      <w:r w:rsidRPr="00D732EF">
        <w:rPr>
          <w:b w:val="0"/>
          <w:bCs w:val="0"/>
          <w:strike/>
          <w:color w:val="231F20"/>
          <w:highlight w:val="yellow"/>
          <w:u w:val="single" w:color="231F20"/>
        </w:rPr>
        <w:br/>
        <w:t>capable of remotely complying.</w:t>
      </w:r>
    </w:p>
    <w:p w14:paraId="0BEB8997" w14:textId="77777777" w:rsidR="00C663AA" w:rsidRDefault="00C663AA" w:rsidP="00F63597">
      <w:pPr>
        <w:pStyle w:val="BodyText"/>
        <w:spacing w:before="4"/>
        <w:rPr>
          <w:color w:val="231F20"/>
          <w:u w:val="single" w:color="231F20"/>
        </w:rPr>
      </w:pPr>
    </w:p>
    <w:p w14:paraId="2C30717D" w14:textId="6A244157" w:rsidR="00F63597" w:rsidRPr="00F917CE" w:rsidRDefault="00F63597" w:rsidP="00F63597">
      <w:pPr>
        <w:pStyle w:val="BodyText"/>
        <w:spacing w:before="4"/>
        <w:rPr>
          <w:color w:val="231F20"/>
          <w:highlight w:val="yellow"/>
          <w:u w:val="single" w:color="231F20"/>
        </w:rPr>
      </w:pPr>
      <w:r w:rsidRPr="00F917CE">
        <w:rPr>
          <w:color w:val="231F20"/>
          <w:highlight w:val="yellow"/>
          <w:u w:val="single" w:color="231F20"/>
        </w:rPr>
        <w:t>Demand responsive controls shall comply with the following:</w:t>
      </w:r>
    </w:p>
    <w:p w14:paraId="695FCBB7" w14:textId="77777777" w:rsidR="00F63597" w:rsidRPr="00F917CE" w:rsidRDefault="00F63597" w:rsidP="00F63597">
      <w:pPr>
        <w:pStyle w:val="ListParagraph"/>
        <w:numPr>
          <w:ilvl w:val="0"/>
          <w:numId w:val="8"/>
        </w:numPr>
        <w:spacing w:before="91"/>
        <w:rPr>
          <w:color w:val="231F20"/>
          <w:sz w:val="18"/>
          <w:szCs w:val="18"/>
          <w:highlight w:val="yellow"/>
          <w:u w:val="single" w:color="231F20"/>
        </w:rPr>
      </w:pPr>
      <w:r w:rsidRPr="00F917CE">
        <w:rPr>
          <w:color w:val="231F20"/>
          <w:sz w:val="18"/>
          <w:szCs w:val="18"/>
          <w:highlight w:val="yellow"/>
          <w:u w:val="single" w:color="231F20"/>
        </w:rPr>
        <w:t>All demand responsive controls shall comply with no less than one of the following:</w:t>
      </w:r>
    </w:p>
    <w:p w14:paraId="1B171090" w14:textId="77777777" w:rsidR="00F63597" w:rsidRPr="00F917CE" w:rsidRDefault="00F63597" w:rsidP="00F63597">
      <w:pPr>
        <w:pStyle w:val="ListParagraph"/>
        <w:numPr>
          <w:ilvl w:val="1"/>
          <w:numId w:val="6"/>
        </w:numPr>
        <w:tabs>
          <w:tab w:val="left" w:pos="650"/>
        </w:tabs>
        <w:spacing w:before="77"/>
        <w:ind w:left="1260"/>
        <w:rPr>
          <w:color w:val="231F20"/>
          <w:sz w:val="18"/>
          <w:szCs w:val="18"/>
          <w:highlight w:val="yellow"/>
          <w:u w:val="single" w:color="231F20"/>
        </w:rPr>
      </w:pPr>
      <w:r w:rsidRPr="00F917CE">
        <w:rPr>
          <w:color w:val="231F20"/>
          <w:sz w:val="18"/>
          <w:szCs w:val="18"/>
          <w:highlight w:val="yellow"/>
          <w:u w:val="single" w:color="231F20"/>
        </w:rPr>
        <w:t xml:space="preserve">A certified </w:t>
      </w:r>
      <w:proofErr w:type="spellStart"/>
      <w:r w:rsidRPr="00F917CE">
        <w:rPr>
          <w:color w:val="231F20"/>
          <w:sz w:val="18"/>
          <w:szCs w:val="18"/>
          <w:highlight w:val="yellow"/>
          <w:u w:val="single" w:color="231F20"/>
        </w:rPr>
        <w:t>OpenADR</w:t>
      </w:r>
      <w:proofErr w:type="spellEnd"/>
      <w:r w:rsidRPr="00F917CE">
        <w:rPr>
          <w:color w:val="231F20"/>
          <w:sz w:val="18"/>
          <w:szCs w:val="18"/>
          <w:highlight w:val="yellow"/>
          <w:u w:val="single" w:color="231F20"/>
        </w:rPr>
        <w:t xml:space="preserve"> 2.0a or </w:t>
      </w:r>
      <w:proofErr w:type="spellStart"/>
      <w:r w:rsidRPr="00F917CE">
        <w:rPr>
          <w:color w:val="231F20"/>
          <w:sz w:val="18"/>
          <w:szCs w:val="18"/>
          <w:highlight w:val="yellow"/>
          <w:u w:val="single" w:color="231F20"/>
        </w:rPr>
        <w:t>OpenADR</w:t>
      </w:r>
      <w:proofErr w:type="spellEnd"/>
      <w:r w:rsidRPr="00F917CE">
        <w:rPr>
          <w:color w:val="231F20"/>
          <w:sz w:val="18"/>
          <w:szCs w:val="18"/>
          <w:highlight w:val="yellow"/>
          <w:u w:val="single" w:color="231F20"/>
        </w:rPr>
        <w:t xml:space="preserve"> 2.0b Virtual End Node (VEN), as specified under Clause 11, Conformance, in the applicable </w:t>
      </w:r>
      <w:proofErr w:type="spellStart"/>
      <w:r w:rsidRPr="00F917CE">
        <w:rPr>
          <w:color w:val="231F20"/>
          <w:sz w:val="18"/>
          <w:szCs w:val="18"/>
          <w:highlight w:val="yellow"/>
          <w:u w:val="single" w:color="231F20"/>
        </w:rPr>
        <w:t>OpenADR</w:t>
      </w:r>
      <w:proofErr w:type="spellEnd"/>
      <w:r w:rsidRPr="00F917CE">
        <w:rPr>
          <w:color w:val="231F20"/>
          <w:sz w:val="18"/>
          <w:szCs w:val="18"/>
          <w:highlight w:val="yellow"/>
          <w:u w:val="single" w:color="231F20"/>
        </w:rPr>
        <w:t xml:space="preserve"> 2.0 Specification, or</w:t>
      </w:r>
    </w:p>
    <w:p w14:paraId="5EE3190F" w14:textId="77777777" w:rsidR="00F63597" w:rsidRPr="00F917CE" w:rsidRDefault="00F63597" w:rsidP="00F63597">
      <w:pPr>
        <w:pStyle w:val="ListParagraph"/>
        <w:numPr>
          <w:ilvl w:val="1"/>
          <w:numId w:val="6"/>
        </w:numPr>
        <w:tabs>
          <w:tab w:val="left" w:pos="650"/>
        </w:tabs>
        <w:spacing w:before="77"/>
        <w:ind w:left="1260"/>
        <w:rPr>
          <w:color w:val="231F20"/>
          <w:sz w:val="18"/>
          <w:szCs w:val="18"/>
          <w:highlight w:val="yellow"/>
          <w:u w:val="single" w:color="231F20"/>
        </w:rPr>
      </w:pPr>
      <w:r w:rsidRPr="00F917CE">
        <w:rPr>
          <w:color w:val="231F20"/>
          <w:sz w:val="18"/>
          <w:szCs w:val="18"/>
          <w:highlight w:val="yellow"/>
          <w:u w:val="single" w:color="231F20"/>
        </w:rPr>
        <w:t xml:space="preserve">Certified by the manufacturer as being capable of responding to a demand response signal from a certified </w:t>
      </w:r>
      <w:proofErr w:type="spellStart"/>
      <w:r w:rsidRPr="00F917CE">
        <w:rPr>
          <w:color w:val="231F20"/>
          <w:sz w:val="18"/>
          <w:szCs w:val="18"/>
          <w:highlight w:val="yellow"/>
          <w:u w:val="single" w:color="231F20"/>
        </w:rPr>
        <w:t>OpenADR</w:t>
      </w:r>
      <w:proofErr w:type="spellEnd"/>
      <w:r w:rsidRPr="00F917CE">
        <w:rPr>
          <w:color w:val="231F20"/>
          <w:sz w:val="18"/>
          <w:szCs w:val="18"/>
          <w:highlight w:val="yellow"/>
          <w:u w:val="single" w:color="231F20"/>
        </w:rPr>
        <w:t xml:space="preserve"> 2.0b Virtual End Node by automatically implementing the control functions requested by the Virtual End Node for the equipment it controls, or</w:t>
      </w:r>
    </w:p>
    <w:p w14:paraId="49454FDB" w14:textId="77CCF2A7" w:rsidR="00F63597" w:rsidRPr="00F917CE" w:rsidRDefault="00F63597" w:rsidP="00F63597">
      <w:pPr>
        <w:pStyle w:val="ListParagraph"/>
        <w:numPr>
          <w:ilvl w:val="1"/>
          <w:numId w:val="6"/>
        </w:numPr>
        <w:tabs>
          <w:tab w:val="left" w:pos="650"/>
        </w:tabs>
        <w:spacing w:before="77"/>
        <w:ind w:left="1260"/>
        <w:rPr>
          <w:color w:val="231F20"/>
          <w:sz w:val="18"/>
          <w:szCs w:val="18"/>
          <w:highlight w:val="yellow"/>
          <w:u w:val="single" w:color="231F20"/>
        </w:rPr>
      </w:pPr>
      <w:r w:rsidRPr="00F917CE">
        <w:rPr>
          <w:color w:val="231F20"/>
          <w:sz w:val="18"/>
          <w:szCs w:val="18"/>
          <w:highlight w:val="yellow"/>
          <w:u w:val="single" w:color="231F20"/>
        </w:rPr>
        <w:t>Comply with IEC 627</w:t>
      </w:r>
      <w:r w:rsidR="009A299A">
        <w:rPr>
          <w:color w:val="231F20"/>
          <w:sz w:val="18"/>
          <w:szCs w:val="18"/>
          <w:highlight w:val="yellow"/>
          <w:u w:val="single" w:color="231F20"/>
        </w:rPr>
        <w:t>4</w:t>
      </w:r>
      <w:r w:rsidRPr="00F917CE">
        <w:rPr>
          <w:color w:val="231F20"/>
          <w:sz w:val="18"/>
          <w:szCs w:val="18"/>
          <w:highlight w:val="yellow"/>
          <w:u w:val="single" w:color="231F20"/>
        </w:rPr>
        <w:t>6-10-1, an international standard for the open automated demand response system interface between the smart appliance, system, or energy management system and the controlling entity, such as a utility or service provider, or</w:t>
      </w:r>
    </w:p>
    <w:p w14:paraId="0315649F" w14:textId="77777777" w:rsidR="00F63597" w:rsidRPr="00F917CE" w:rsidRDefault="00F63597" w:rsidP="00F63597">
      <w:pPr>
        <w:pStyle w:val="ListParagraph"/>
        <w:numPr>
          <w:ilvl w:val="1"/>
          <w:numId w:val="6"/>
        </w:numPr>
        <w:tabs>
          <w:tab w:val="left" w:pos="650"/>
        </w:tabs>
        <w:spacing w:before="77"/>
        <w:ind w:left="1260"/>
        <w:rPr>
          <w:color w:val="231F20"/>
          <w:sz w:val="18"/>
          <w:szCs w:val="18"/>
          <w:highlight w:val="yellow"/>
          <w:u w:val="single" w:color="231F20"/>
        </w:rPr>
      </w:pPr>
      <w:r w:rsidRPr="00F917CE">
        <w:rPr>
          <w:color w:val="231F20"/>
          <w:sz w:val="18"/>
          <w:szCs w:val="18"/>
          <w:highlight w:val="yellow"/>
          <w:u w:val="single" w:color="231F20"/>
        </w:rPr>
        <w:t>Comply with the communication protocol required by a controlling entity, such as a utility or service provider, to participate in an automated demand response program.</w:t>
      </w:r>
    </w:p>
    <w:p w14:paraId="353B4DE3" w14:textId="1B759AC0" w:rsidR="00F63597" w:rsidRPr="00F917CE" w:rsidRDefault="00F63597" w:rsidP="004B60AB">
      <w:pPr>
        <w:pStyle w:val="ListParagraph"/>
        <w:numPr>
          <w:ilvl w:val="1"/>
          <w:numId w:val="6"/>
        </w:numPr>
        <w:tabs>
          <w:tab w:val="left" w:pos="650"/>
        </w:tabs>
        <w:spacing w:before="77"/>
        <w:ind w:left="1260"/>
        <w:rPr>
          <w:color w:val="231F20"/>
          <w:sz w:val="18"/>
          <w:szCs w:val="18"/>
          <w:highlight w:val="yellow"/>
          <w:u w:val="single" w:color="231F20"/>
        </w:rPr>
      </w:pPr>
      <w:r w:rsidRPr="00F917CE">
        <w:rPr>
          <w:color w:val="231F20"/>
          <w:sz w:val="18"/>
          <w:szCs w:val="18"/>
          <w:highlight w:val="yellow"/>
          <w:u w:val="single" w:color="231F20"/>
        </w:rPr>
        <w:t>Comply with the physical configuration and communication protocol required by CTA 2045-A.</w:t>
      </w:r>
    </w:p>
    <w:p w14:paraId="7719B5E4" w14:textId="77777777" w:rsidR="00F63597" w:rsidRPr="00F917CE" w:rsidRDefault="00F63597" w:rsidP="00F63597">
      <w:pPr>
        <w:pStyle w:val="ListParagraph"/>
        <w:numPr>
          <w:ilvl w:val="0"/>
          <w:numId w:val="7"/>
        </w:numPr>
        <w:tabs>
          <w:tab w:val="left" w:pos="650"/>
        </w:tabs>
        <w:spacing w:before="77" w:line="292" w:lineRule="auto"/>
        <w:ind w:right="437"/>
        <w:rPr>
          <w:color w:val="231F20"/>
          <w:sz w:val="18"/>
          <w:szCs w:val="18"/>
          <w:highlight w:val="yellow"/>
          <w:u w:val="single" w:color="231F20"/>
        </w:rPr>
      </w:pPr>
      <w:r w:rsidRPr="00F917CE">
        <w:rPr>
          <w:color w:val="231F20"/>
          <w:sz w:val="18"/>
          <w:szCs w:val="18"/>
          <w:highlight w:val="yellow"/>
          <w:u w:val="single" w:color="231F20"/>
        </w:rPr>
        <w:t>All demand responsive controls shall be capable of communicating to the VEN using one or more of the following: Wi-Fi, ZigBee, BACnet, Ethernet, or hard-wiring any other bi-directional communication pathway.</w:t>
      </w:r>
    </w:p>
    <w:p w14:paraId="3063EF1B" w14:textId="77777777" w:rsidR="00F63597" w:rsidRPr="00F917CE" w:rsidRDefault="00F63597" w:rsidP="00F63597">
      <w:pPr>
        <w:pStyle w:val="ListParagraph"/>
        <w:numPr>
          <w:ilvl w:val="0"/>
          <w:numId w:val="7"/>
        </w:numPr>
        <w:tabs>
          <w:tab w:val="left" w:pos="650"/>
        </w:tabs>
        <w:spacing w:before="77" w:line="292" w:lineRule="auto"/>
        <w:ind w:right="437"/>
        <w:rPr>
          <w:color w:val="231F20"/>
          <w:sz w:val="18"/>
          <w:szCs w:val="18"/>
          <w:highlight w:val="yellow"/>
          <w:u w:val="single" w:color="231F20"/>
        </w:rPr>
      </w:pPr>
      <w:r w:rsidRPr="00F917CE">
        <w:rPr>
          <w:color w:val="231F20"/>
          <w:sz w:val="18"/>
          <w:szCs w:val="18"/>
          <w:highlight w:val="yellow"/>
          <w:u w:val="single" w:color="231F20"/>
        </w:rPr>
        <w:t>When communications are disabled or unavailable, all demand responsive controls shall continue to perform all other control functions provided by the control.</w:t>
      </w:r>
    </w:p>
    <w:p w14:paraId="38DA3E8E" w14:textId="7737CB13" w:rsidR="00172C3C" w:rsidRDefault="006B6EB7" w:rsidP="00C745B3">
      <w:pPr>
        <w:ind w:left="90"/>
        <w:rPr>
          <w:color w:val="231F20"/>
          <w:sz w:val="18"/>
          <w:szCs w:val="18"/>
          <w:u w:val="single" w:color="231F20"/>
        </w:rPr>
      </w:pPr>
      <w:r w:rsidRPr="006B6EB7">
        <w:rPr>
          <w:u w:color="231F20"/>
        </w:rPr>
        <w:lastRenderedPageBreak/>
        <w:br/>
      </w:r>
      <w:r>
        <w:rPr>
          <w:b/>
          <w:bCs/>
          <w:u w:color="231F20"/>
        </w:rPr>
        <w:br/>
      </w:r>
      <w:r w:rsidR="00641AD9" w:rsidRPr="00641AD9">
        <w:rPr>
          <w:b/>
          <w:bCs/>
          <w:color w:val="231F20"/>
          <w:sz w:val="18"/>
          <w:szCs w:val="18"/>
          <w:highlight w:val="yellow"/>
          <w:u w:val="single" w:color="231F20"/>
        </w:rPr>
        <w:t>Exception:</w:t>
      </w:r>
      <w:r w:rsidR="00641AD9" w:rsidRPr="00641AD9">
        <w:rPr>
          <w:color w:val="231F20"/>
          <w:sz w:val="18"/>
          <w:szCs w:val="18"/>
          <w:highlight w:val="yellow"/>
          <w:u w:val="single" w:color="231F20"/>
        </w:rPr>
        <w:t xml:space="preserve"> Health care; assisted living facilities; data centers; mission critical spaces; industrial and process spaces; and buildings with energy management systems that meet the intent of this section.</w:t>
      </w:r>
    </w:p>
    <w:p w14:paraId="1BFD6608" w14:textId="77777777" w:rsidR="00FF0E7C" w:rsidRDefault="00FF0E7C" w:rsidP="00C745B3">
      <w:pPr>
        <w:ind w:left="90"/>
        <w:rPr>
          <w:color w:val="231F20"/>
          <w:sz w:val="18"/>
          <w:szCs w:val="18"/>
          <w:u w:val="single" w:color="231F20"/>
        </w:rPr>
      </w:pPr>
    </w:p>
    <w:p w14:paraId="7321F9BC" w14:textId="489FCD35" w:rsidR="0095703B" w:rsidRPr="005B38FE" w:rsidRDefault="0095703B" w:rsidP="00C745B3">
      <w:pPr>
        <w:pStyle w:val="BodyText"/>
        <w:ind w:left="90"/>
        <w:rPr>
          <w:b/>
          <w:bCs/>
          <w:highlight w:val="yellow"/>
          <w:u w:val="single"/>
        </w:rPr>
      </w:pPr>
      <w:r w:rsidRPr="005B38FE">
        <w:rPr>
          <w:b/>
          <w:bCs/>
          <w:highlight w:val="yellow"/>
          <w:u w:val="single"/>
        </w:rPr>
        <w:t xml:space="preserve">Variable capacity HVAC less than 5 tons: </w:t>
      </w:r>
      <w:r w:rsidRPr="005B38FE">
        <w:rPr>
          <w:highlight w:val="yellow"/>
          <w:u w:val="single"/>
        </w:rPr>
        <w:t>Variable capacity HVAC systems may alternately comply with AHRI 1380.</w:t>
      </w:r>
    </w:p>
    <w:p w14:paraId="5560F137" w14:textId="77777777" w:rsidR="0095703B" w:rsidRPr="00CD27D9" w:rsidRDefault="0095703B" w:rsidP="00C745B3">
      <w:pPr>
        <w:pStyle w:val="BodyText"/>
        <w:ind w:left="90"/>
        <w:rPr>
          <w:b/>
          <w:bCs/>
          <w:highlight w:val="yellow"/>
        </w:rPr>
      </w:pPr>
    </w:p>
    <w:p w14:paraId="2E70E24A" w14:textId="797695E2" w:rsidR="003A44CA" w:rsidRPr="00CD27D9" w:rsidRDefault="00C745B3" w:rsidP="00C745B3">
      <w:pPr>
        <w:pStyle w:val="BodyText"/>
        <w:ind w:left="90"/>
        <w:rPr>
          <w:b/>
          <w:bCs/>
          <w:highlight w:val="yellow"/>
        </w:rPr>
      </w:pPr>
      <w:r w:rsidRPr="00CD27D9">
        <w:rPr>
          <w:b/>
          <w:bCs/>
          <w:highlight w:val="yellow"/>
        </w:rPr>
        <w:t>Add new standard(s) as follows:</w:t>
      </w:r>
    </w:p>
    <w:p w14:paraId="01D5F390" w14:textId="77777777" w:rsidR="003A44CA" w:rsidRPr="00CD27D9" w:rsidRDefault="003A44CA" w:rsidP="00C745B3">
      <w:pPr>
        <w:pStyle w:val="BodyText"/>
        <w:ind w:left="90"/>
        <w:rPr>
          <w:highlight w:val="yellow"/>
          <w:u w:val="single"/>
        </w:rPr>
      </w:pPr>
      <w:r w:rsidRPr="00CD27D9">
        <w:rPr>
          <w:highlight w:val="yellow"/>
          <w:u w:val="single"/>
        </w:rPr>
        <w:t xml:space="preserve">Chapter 6 Referenced Standards New </w:t>
      </w:r>
    </w:p>
    <w:p w14:paraId="07ED9E74" w14:textId="77777777" w:rsidR="003A44CA" w:rsidRPr="00C745B3" w:rsidRDefault="003A44CA" w:rsidP="00C745B3">
      <w:pPr>
        <w:pStyle w:val="BodyText"/>
        <w:ind w:left="90"/>
        <w:rPr>
          <w:highlight w:val="yellow"/>
          <w:u w:val="single"/>
        </w:rPr>
      </w:pPr>
    </w:p>
    <w:p w14:paraId="41E47207" w14:textId="77777777" w:rsidR="003A44CA" w:rsidRPr="00C745B3" w:rsidRDefault="003A44CA" w:rsidP="00C745B3">
      <w:pPr>
        <w:pStyle w:val="BodyText"/>
        <w:ind w:left="90"/>
        <w:rPr>
          <w:highlight w:val="yellow"/>
          <w:u w:val="single"/>
        </w:rPr>
      </w:pPr>
      <w:r w:rsidRPr="00C745B3">
        <w:rPr>
          <w:highlight w:val="yellow"/>
          <w:u w:val="single"/>
        </w:rPr>
        <w:t xml:space="preserve">CTA </w:t>
      </w:r>
    </w:p>
    <w:p w14:paraId="73F7559D" w14:textId="77777777" w:rsidR="003A44CA" w:rsidRPr="00C745B3" w:rsidRDefault="003A44CA" w:rsidP="00C745B3">
      <w:pPr>
        <w:pStyle w:val="BodyText"/>
        <w:ind w:left="90"/>
        <w:rPr>
          <w:highlight w:val="yellow"/>
          <w:u w:val="single"/>
        </w:rPr>
      </w:pPr>
    </w:p>
    <w:p w14:paraId="729C6C35" w14:textId="77777777" w:rsidR="003A44CA" w:rsidRPr="00C745B3" w:rsidRDefault="003A44CA" w:rsidP="00C745B3">
      <w:pPr>
        <w:pStyle w:val="BodyText"/>
        <w:ind w:left="90"/>
        <w:rPr>
          <w:highlight w:val="yellow"/>
          <w:u w:val="single"/>
        </w:rPr>
      </w:pPr>
      <w:r w:rsidRPr="00C745B3">
        <w:rPr>
          <w:highlight w:val="yellow"/>
          <w:u w:val="single"/>
        </w:rPr>
        <w:t>Consumer Technology Association Technology &amp; Standards Department</w:t>
      </w:r>
    </w:p>
    <w:p w14:paraId="75F016FA" w14:textId="77777777" w:rsidR="003A44CA" w:rsidRPr="00C745B3" w:rsidRDefault="003A44CA" w:rsidP="00C745B3">
      <w:pPr>
        <w:pStyle w:val="BodyText"/>
        <w:ind w:left="90"/>
        <w:rPr>
          <w:highlight w:val="yellow"/>
          <w:u w:val="single"/>
        </w:rPr>
      </w:pPr>
      <w:r w:rsidRPr="00C745B3">
        <w:rPr>
          <w:highlight w:val="yellow"/>
          <w:u w:val="single"/>
        </w:rPr>
        <w:t>1919 S Eads Street</w:t>
      </w:r>
    </w:p>
    <w:p w14:paraId="16AE5A0D" w14:textId="77777777" w:rsidR="003A44CA" w:rsidRPr="00C745B3" w:rsidRDefault="003A44CA" w:rsidP="00C745B3">
      <w:pPr>
        <w:pStyle w:val="BodyText"/>
        <w:ind w:left="90"/>
        <w:rPr>
          <w:highlight w:val="yellow"/>
          <w:u w:val="single"/>
        </w:rPr>
      </w:pPr>
      <w:r w:rsidRPr="00C745B3">
        <w:rPr>
          <w:highlight w:val="yellow"/>
          <w:u w:val="single"/>
        </w:rPr>
        <w:t>Arlington, VA 22202</w:t>
      </w:r>
    </w:p>
    <w:p w14:paraId="39C1677C" w14:textId="77777777" w:rsidR="003A44CA" w:rsidRPr="00C745B3" w:rsidRDefault="003A44CA" w:rsidP="00C745B3">
      <w:pPr>
        <w:pStyle w:val="BodyText"/>
        <w:ind w:left="90"/>
        <w:rPr>
          <w:highlight w:val="yellow"/>
          <w:u w:val="single"/>
        </w:rPr>
      </w:pPr>
      <w:r w:rsidRPr="00C745B3">
        <w:rPr>
          <w:highlight w:val="yellow"/>
          <w:u w:val="single"/>
        </w:rPr>
        <w:t>ANSI/CTA-2045-B – 2018: Modular Communications Interface for Energy Management</w:t>
      </w:r>
    </w:p>
    <w:p w14:paraId="4BABD3D1" w14:textId="77777777" w:rsidR="003A44CA" w:rsidRPr="00C745B3" w:rsidRDefault="003A44CA" w:rsidP="00C745B3">
      <w:pPr>
        <w:pStyle w:val="BodyText"/>
        <w:ind w:left="90"/>
        <w:rPr>
          <w:highlight w:val="yellow"/>
          <w:u w:val="single"/>
        </w:rPr>
      </w:pPr>
    </w:p>
    <w:p w14:paraId="3AB4B5F6" w14:textId="77777777" w:rsidR="003A44CA" w:rsidRPr="00C745B3" w:rsidRDefault="003A44CA" w:rsidP="00C745B3">
      <w:pPr>
        <w:pStyle w:val="BodyText"/>
        <w:ind w:left="90"/>
        <w:rPr>
          <w:highlight w:val="yellow"/>
          <w:u w:val="single"/>
        </w:rPr>
      </w:pPr>
    </w:p>
    <w:p w14:paraId="41B5749C" w14:textId="77777777" w:rsidR="003A44CA" w:rsidRPr="00C745B3" w:rsidRDefault="003A44CA" w:rsidP="00C745B3">
      <w:pPr>
        <w:pStyle w:val="BodyText"/>
        <w:ind w:left="90"/>
        <w:rPr>
          <w:highlight w:val="yellow"/>
          <w:u w:val="single"/>
        </w:rPr>
      </w:pPr>
      <w:r w:rsidRPr="00C745B3">
        <w:rPr>
          <w:highlight w:val="yellow"/>
          <w:u w:val="single"/>
        </w:rPr>
        <w:t>IEC</w:t>
      </w:r>
    </w:p>
    <w:p w14:paraId="69476122" w14:textId="77777777" w:rsidR="003A44CA" w:rsidRPr="00C745B3" w:rsidRDefault="003A44CA" w:rsidP="00C745B3">
      <w:pPr>
        <w:pStyle w:val="BodyText"/>
        <w:ind w:left="90"/>
        <w:rPr>
          <w:highlight w:val="yellow"/>
          <w:u w:val="single"/>
        </w:rPr>
      </w:pPr>
    </w:p>
    <w:p w14:paraId="726634BC" w14:textId="77777777" w:rsidR="003A44CA" w:rsidRPr="00C745B3" w:rsidRDefault="003A44CA" w:rsidP="00C745B3">
      <w:pPr>
        <w:pStyle w:val="BodyText"/>
        <w:ind w:left="90"/>
        <w:rPr>
          <w:highlight w:val="yellow"/>
          <w:u w:val="single"/>
        </w:rPr>
      </w:pPr>
      <w:r w:rsidRPr="00C745B3">
        <w:rPr>
          <w:highlight w:val="yellow"/>
          <w:u w:val="single"/>
        </w:rPr>
        <w:t>IEC Regional Centre for North America</w:t>
      </w:r>
    </w:p>
    <w:p w14:paraId="5601F2E7" w14:textId="77777777" w:rsidR="003A44CA" w:rsidRPr="00C745B3" w:rsidRDefault="003A44CA" w:rsidP="00C745B3">
      <w:pPr>
        <w:pStyle w:val="BodyText"/>
        <w:ind w:left="90"/>
        <w:rPr>
          <w:highlight w:val="yellow"/>
          <w:u w:val="single"/>
        </w:rPr>
      </w:pPr>
      <w:r w:rsidRPr="00C745B3">
        <w:rPr>
          <w:highlight w:val="yellow"/>
          <w:u w:val="single"/>
        </w:rPr>
        <w:t>446 Main Street 16th Floor</w:t>
      </w:r>
    </w:p>
    <w:p w14:paraId="23D06342" w14:textId="77777777" w:rsidR="003A44CA" w:rsidRPr="00C745B3" w:rsidRDefault="003A44CA" w:rsidP="00C745B3">
      <w:pPr>
        <w:pStyle w:val="BodyText"/>
        <w:ind w:left="90"/>
        <w:rPr>
          <w:highlight w:val="yellow"/>
          <w:u w:val="single"/>
        </w:rPr>
      </w:pPr>
      <w:r w:rsidRPr="00C745B3">
        <w:rPr>
          <w:highlight w:val="yellow"/>
          <w:u w:val="single"/>
        </w:rPr>
        <w:t>Worcester, MA 01608</w:t>
      </w:r>
    </w:p>
    <w:p w14:paraId="0C7C9E91" w14:textId="77777777" w:rsidR="003A44CA" w:rsidRPr="00C745B3" w:rsidRDefault="003A44CA" w:rsidP="00C745B3">
      <w:pPr>
        <w:pStyle w:val="BodyText"/>
        <w:ind w:left="90"/>
        <w:rPr>
          <w:highlight w:val="yellow"/>
          <w:u w:val="single"/>
        </w:rPr>
      </w:pPr>
      <w:r w:rsidRPr="00C745B3">
        <w:rPr>
          <w:highlight w:val="yellow"/>
          <w:u w:val="single"/>
        </w:rPr>
        <w:t>IEC 62746-10-1 - 2018 Systems interface between customer energy management system and the power management system - Part 10-1: Open automated demand response</w:t>
      </w:r>
    </w:p>
    <w:p w14:paraId="23DBCE02" w14:textId="77777777" w:rsidR="003A44CA" w:rsidRPr="00C745B3" w:rsidRDefault="003A44CA" w:rsidP="00C745B3">
      <w:pPr>
        <w:pStyle w:val="BodyText"/>
        <w:ind w:left="90"/>
        <w:rPr>
          <w:highlight w:val="yellow"/>
          <w:u w:val="single"/>
        </w:rPr>
      </w:pPr>
    </w:p>
    <w:p w14:paraId="427AF872" w14:textId="77777777" w:rsidR="003A44CA" w:rsidRPr="00C745B3" w:rsidRDefault="003A44CA" w:rsidP="00C745B3">
      <w:pPr>
        <w:pStyle w:val="BodyText"/>
        <w:ind w:left="90"/>
        <w:rPr>
          <w:highlight w:val="yellow"/>
          <w:u w:val="single"/>
        </w:rPr>
      </w:pPr>
    </w:p>
    <w:p w14:paraId="0299FF77" w14:textId="77777777" w:rsidR="003A44CA" w:rsidRPr="00C745B3" w:rsidRDefault="003A44CA" w:rsidP="00C745B3">
      <w:pPr>
        <w:pStyle w:val="BodyText"/>
        <w:ind w:left="90"/>
        <w:rPr>
          <w:highlight w:val="yellow"/>
          <w:u w:val="single"/>
        </w:rPr>
      </w:pPr>
      <w:proofErr w:type="spellStart"/>
      <w:r w:rsidRPr="00C745B3">
        <w:rPr>
          <w:highlight w:val="yellow"/>
          <w:u w:val="single"/>
        </w:rPr>
        <w:t>OpenADR</w:t>
      </w:r>
      <w:proofErr w:type="spellEnd"/>
    </w:p>
    <w:p w14:paraId="68EA27BC" w14:textId="77777777" w:rsidR="003A44CA" w:rsidRPr="00C745B3" w:rsidRDefault="003A44CA" w:rsidP="00C745B3">
      <w:pPr>
        <w:pStyle w:val="BodyText"/>
        <w:ind w:left="90"/>
        <w:rPr>
          <w:highlight w:val="yellow"/>
          <w:u w:val="single"/>
        </w:rPr>
      </w:pPr>
    </w:p>
    <w:p w14:paraId="7A033747" w14:textId="77777777" w:rsidR="003A44CA" w:rsidRPr="00C745B3" w:rsidRDefault="003A44CA" w:rsidP="00C745B3">
      <w:pPr>
        <w:pStyle w:val="BodyText"/>
        <w:ind w:left="90"/>
        <w:rPr>
          <w:highlight w:val="yellow"/>
          <w:u w:val="single"/>
        </w:rPr>
      </w:pPr>
      <w:proofErr w:type="spellStart"/>
      <w:r w:rsidRPr="00C745B3">
        <w:rPr>
          <w:highlight w:val="yellow"/>
          <w:u w:val="single"/>
        </w:rPr>
        <w:t>OpenADR</w:t>
      </w:r>
      <w:proofErr w:type="spellEnd"/>
      <w:r w:rsidRPr="00C745B3">
        <w:rPr>
          <w:highlight w:val="yellow"/>
          <w:u w:val="single"/>
        </w:rPr>
        <w:t xml:space="preserve"> Alliance</w:t>
      </w:r>
    </w:p>
    <w:p w14:paraId="686CA9C8" w14:textId="77777777" w:rsidR="003A44CA" w:rsidRPr="00C745B3" w:rsidRDefault="003A44CA" w:rsidP="00C745B3">
      <w:pPr>
        <w:pStyle w:val="BodyText"/>
        <w:ind w:left="90"/>
        <w:rPr>
          <w:highlight w:val="yellow"/>
          <w:u w:val="single"/>
        </w:rPr>
      </w:pPr>
      <w:r w:rsidRPr="00C745B3">
        <w:rPr>
          <w:highlight w:val="yellow"/>
          <w:u w:val="single"/>
        </w:rPr>
        <w:t>111 Deerwood Road</w:t>
      </w:r>
    </w:p>
    <w:p w14:paraId="2BBA5BC3" w14:textId="77777777" w:rsidR="003A44CA" w:rsidRPr="00C745B3" w:rsidRDefault="003A44CA" w:rsidP="00C745B3">
      <w:pPr>
        <w:pStyle w:val="BodyText"/>
        <w:ind w:left="90"/>
        <w:rPr>
          <w:highlight w:val="yellow"/>
          <w:u w:val="single"/>
        </w:rPr>
      </w:pPr>
      <w:r w:rsidRPr="00C745B3">
        <w:rPr>
          <w:highlight w:val="yellow"/>
          <w:u w:val="single"/>
        </w:rPr>
        <w:t>Suite 200</w:t>
      </w:r>
    </w:p>
    <w:p w14:paraId="275F1637" w14:textId="77777777" w:rsidR="003A44CA" w:rsidRPr="00C745B3" w:rsidRDefault="003A44CA" w:rsidP="00C745B3">
      <w:pPr>
        <w:pStyle w:val="BodyText"/>
        <w:ind w:left="90"/>
        <w:rPr>
          <w:highlight w:val="yellow"/>
          <w:u w:val="single"/>
        </w:rPr>
      </w:pPr>
      <w:r w:rsidRPr="00C745B3">
        <w:rPr>
          <w:highlight w:val="yellow"/>
          <w:u w:val="single"/>
        </w:rPr>
        <w:t>San Ramon, CA 94583</w:t>
      </w:r>
    </w:p>
    <w:p w14:paraId="05E415AC" w14:textId="77777777" w:rsidR="003A44CA" w:rsidRPr="00C745B3" w:rsidRDefault="003A44CA" w:rsidP="00C745B3">
      <w:pPr>
        <w:pStyle w:val="BodyText"/>
        <w:ind w:left="90"/>
        <w:rPr>
          <w:highlight w:val="yellow"/>
          <w:u w:val="single"/>
        </w:rPr>
      </w:pPr>
    </w:p>
    <w:p w14:paraId="1A202B39" w14:textId="77777777" w:rsidR="003A44CA" w:rsidRPr="00C745B3" w:rsidRDefault="003A44CA" w:rsidP="00C745B3">
      <w:pPr>
        <w:pStyle w:val="BodyText"/>
        <w:ind w:left="90"/>
        <w:rPr>
          <w:u w:val="single"/>
        </w:rPr>
      </w:pPr>
      <w:proofErr w:type="spellStart"/>
      <w:r w:rsidRPr="00C745B3">
        <w:rPr>
          <w:highlight w:val="yellow"/>
          <w:u w:val="single"/>
        </w:rPr>
        <w:t>OpenADR</w:t>
      </w:r>
      <w:proofErr w:type="spellEnd"/>
      <w:r w:rsidRPr="00C745B3">
        <w:rPr>
          <w:highlight w:val="yellow"/>
          <w:u w:val="single"/>
        </w:rPr>
        <w:t xml:space="preserve"> 2.0a and 2.0b – 2019: Profile Specification Distributed Energy Resources</w:t>
      </w:r>
    </w:p>
    <w:p w14:paraId="6A7ABDF3" w14:textId="77777777" w:rsidR="003A44CA" w:rsidRDefault="003A44CA" w:rsidP="00F63597"/>
    <w:p w14:paraId="2213B233" w14:textId="6C384494" w:rsidR="00AE47BB" w:rsidRPr="00AE47BB" w:rsidRDefault="00AE47BB">
      <w:pPr>
        <w:pStyle w:val="Heading1"/>
        <w:spacing w:before="150"/>
        <w:rPr>
          <w:color w:val="000000" w:themeColor="text1"/>
          <w:highlight w:val="yellow"/>
        </w:rPr>
      </w:pPr>
      <w:r w:rsidRPr="00AE47BB">
        <w:rPr>
          <w:color w:val="000000" w:themeColor="text1"/>
          <w:highlight w:val="yellow"/>
        </w:rPr>
        <w:t>Reason for revision</w:t>
      </w:r>
    </w:p>
    <w:p w14:paraId="7E31AE5A" w14:textId="77777777" w:rsidR="009032A6" w:rsidRDefault="00E465E7" w:rsidP="00E465E7">
      <w:pPr>
        <w:pStyle w:val="Heading1"/>
        <w:spacing w:before="150"/>
        <w:rPr>
          <w:b w:val="0"/>
          <w:bCs w:val="0"/>
          <w:color w:val="000000" w:themeColor="text1"/>
          <w:highlight w:val="yellow"/>
        </w:rPr>
      </w:pPr>
      <w:r w:rsidRPr="00AE47BB">
        <w:rPr>
          <w:b w:val="0"/>
          <w:bCs w:val="0"/>
          <w:color w:val="000000" w:themeColor="text1"/>
          <w:highlight w:val="yellow"/>
        </w:rPr>
        <w:t xml:space="preserve">This revision is the result of a collaboration/negotiation between </w:t>
      </w:r>
      <w:r>
        <w:rPr>
          <w:b w:val="0"/>
          <w:bCs w:val="0"/>
          <w:color w:val="000000" w:themeColor="text1"/>
          <w:highlight w:val="yellow"/>
        </w:rPr>
        <w:t>NBI, DOE, and AHRI</w:t>
      </w:r>
      <w:r w:rsidRPr="00AE47BB">
        <w:rPr>
          <w:b w:val="0"/>
          <w:bCs w:val="0"/>
          <w:color w:val="000000" w:themeColor="text1"/>
          <w:highlight w:val="yellow"/>
        </w:rPr>
        <w:t>.</w:t>
      </w:r>
      <w:r w:rsidR="009032A6">
        <w:rPr>
          <w:b w:val="0"/>
          <w:bCs w:val="0"/>
          <w:color w:val="000000" w:themeColor="text1"/>
          <w:highlight w:val="yellow"/>
        </w:rPr>
        <w:t xml:space="preserve"> </w:t>
      </w:r>
      <w:r w:rsidR="009032A6" w:rsidRPr="009032A6">
        <w:rPr>
          <w:b w:val="0"/>
          <w:bCs w:val="0"/>
          <w:color w:val="000000" w:themeColor="text1"/>
          <w:highlight w:val="yellow"/>
        </w:rPr>
        <w:t xml:space="preserve">This proposal is being revised to align </w:t>
      </w:r>
      <w:r w:rsidR="009032A6">
        <w:rPr>
          <w:b w:val="0"/>
          <w:bCs w:val="0"/>
          <w:color w:val="000000" w:themeColor="text1"/>
          <w:highlight w:val="yellow"/>
        </w:rPr>
        <w:t xml:space="preserve">closely </w:t>
      </w:r>
      <w:r w:rsidR="009032A6" w:rsidRPr="009032A6">
        <w:rPr>
          <w:b w:val="0"/>
          <w:bCs w:val="0"/>
          <w:color w:val="000000" w:themeColor="text1"/>
          <w:highlight w:val="yellow"/>
        </w:rPr>
        <w:t xml:space="preserve">with REPI-70, which defines requirements for demand responsive thermostats in residential applications. </w:t>
      </w:r>
    </w:p>
    <w:p w14:paraId="3DF50638" w14:textId="4BEAF51F" w:rsidR="00E465E7" w:rsidRPr="00AE47BB" w:rsidRDefault="00E465E7" w:rsidP="00E465E7">
      <w:pPr>
        <w:pStyle w:val="Heading1"/>
        <w:spacing w:before="150"/>
        <w:rPr>
          <w:b w:val="0"/>
          <w:bCs w:val="0"/>
          <w:color w:val="000000" w:themeColor="text1"/>
          <w:highlight w:val="yellow"/>
        </w:rPr>
      </w:pPr>
      <w:r w:rsidRPr="009032A6">
        <w:rPr>
          <w:b w:val="0"/>
          <w:bCs w:val="0"/>
          <w:color w:val="000000" w:themeColor="text1"/>
          <w:highlight w:val="yellow"/>
        </w:rPr>
        <w:t xml:space="preserve">It </w:t>
      </w:r>
      <w:r w:rsidRPr="00AE47BB">
        <w:rPr>
          <w:b w:val="0"/>
          <w:bCs w:val="0"/>
          <w:color w:val="000000" w:themeColor="text1"/>
          <w:highlight w:val="yellow"/>
        </w:rPr>
        <w:t xml:space="preserve">makes </w:t>
      </w:r>
      <w:r>
        <w:rPr>
          <w:b w:val="0"/>
          <w:bCs w:val="0"/>
          <w:color w:val="000000" w:themeColor="text1"/>
          <w:highlight w:val="yellow"/>
        </w:rPr>
        <w:t>these</w:t>
      </w:r>
      <w:r w:rsidRPr="00AE47BB">
        <w:rPr>
          <w:b w:val="0"/>
          <w:bCs w:val="0"/>
          <w:color w:val="000000" w:themeColor="text1"/>
          <w:highlight w:val="yellow"/>
        </w:rPr>
        <w:t xml:space="preserve"> key revisions:</w:t>
      </w:r>
    </w:p>
    <w:p w14:paraId="7BFC625D" w14:textId="77777777" w:rsidR="00E465E7" w:rsidRDefault="00E465E7" w:rsidP="00E465E7">
      <w:pPr>
        <w:pStyle w:val="Heading1"/>
        <w:numPr>
          <w:ilvl w:val="0"/>
          <w:numId w:val="4"/>
        </w:numPr>
        <w:spacing w:before="150"/>
        <w:rPr>
          <w:b w:val="0"/>
          <w:bCs w:val="0"/>
          <w:color w:val="000000" w:themeColor="text1"/>
          <w:highlight w:val="yellow"/>
        </w:rPr>
      </w:pPr>
      <w:r w:rsidRPr="00AE47BB">
        <w:rPr>
          <w:b w:val="0"/>
          <w:bCs w:val="0"/>
          <w:color w:val="000000" w:themeColor="text1"/>
          <w:highlight w:val="yellow"/>
        </w:rPr>
        <w:t xml:space="preserve">It replaces definitions for “grid integrated control” with “demand responsive control.”  The market is moving to a more robust implementation of demand </w:t>
      </w:r>
      <w:proofErr w:type="gramStart"/>
      <w:r w:rsidRPr="00AE47BB">
        <w:rPr>
          <w:b w:val="0"/>
          <w:bCs w:val="0"/>
          <w:color w:val="000000" w:themeColor="text1"/>
          <w:highlight w:val="yellow"/>
        </w:rPr>
        <w:t>response, but</w:t>
      </w:r>
      <w:proofErr w:type="gramEnd"/>
      <w:r w:rsidRPr="00AE47BB">
        <w:rPr>
          <w:b w:val="0"/>
          <w:bCs w:val="0"/>
          <w:color w:val="000000" w:themeColor="text1"/>
          <w:highlight w:val="yellow"/>
        </w:rPr>
        <w:t xml:space="preserve"> has not yet settled on a terminology.  This change utilizes a known term, “demand response,” until such time as the market settles on a new term that can be defined in code.  These definitions are used in Title 24, which is leading the market for demand responsive control requirements</w:t>
      </w:r>
      <w:r>
        <w:rPr>
          <w:b w:val="0"/>
          <w:bCs w:val="0"/>
          <w:color w:val="000000" w:themeColor="text1"/>
          <w:highlight w:val="yellow"/>
        </w:rPr>
        <w:t>.</w:t>
      </w:r>
    </w:p>
    <w:p w14:paraId="4D1A4BCD" w14:textId="77EE4568" w:rsidR="00C109DA" w:rsidRDefault="00C109DA" w:rsidP="00E465E7">
      <w:pPr>
        <w:pStyle w:val="Heading1"/>
        <w:numPr>
          <w:ilvl w:val="0"/>
          <w:numId w:val="4"/>
        </w:numPr>
        <w:spacing w:before="150"/>
        <w:rPr>
          <w:b w:val="0"/>
          <w:bCs w:val="0"/>
          <w:color w:val="000000" w:themeColor="text1"/>
          <w:highlight w:val="yellow"/>
        </w:rPr>
      </w:pPr>
      <w:r>
        <w:rPr>
          <w:b w:val="0"/>
          <w:bCs w:val="0"/>
          <w:color w:val="000000" w:themeColor="text1"/>
          <w:highlight w:val="yellow"/>
        </w:rPr>
        <w:t xml:space="preserve">The requirement to include ramp-up and ramp-down logic to prevent building peak demand from exceeding that without the demand response implementation has been removed because currently available </w:t>
      </w:r>
      <w:r w:rsidR="0057208D">
        <w:rPr>
          <w:b w:val="0"/>
          <w:bCs w:val="0"/>
          <w:color w:val="000000" w:themeColor="text1"/>
          <w:highlight w:val="yellow"/>
        </w:rPr>
        <w:t>thermostats that are otherwise compliant with the requirements in this proposal generally do not include this capability and therefore including this requirement risks substantially increasing costs for compliance.</w:t>
      </w:r>
    </w:p>
    <w:p w14:paraId="12DCF575" w14:textId="36E187E7" w:rsidR="00AE47BB" w:rsidRPr="000C1D35" w:rsidRDefault="009032A6" w:rsidP="000C1D35">
      <w:pPr>
        <w:pStyle w:val="Heading1"/>
        <w:numPr>
          <w:ilvl w:val="0"/>
          <w:numId w:val="4"/>
        </w:numPr>
        <w:spacing w:before="150"/>
        <w:rPr>
          <w:b w:val="0"/>
          <w:bCs w:val="0"/>
          <w:color w:val="000000" w:themeColor="text1"/>
          <w:highlight w:val="yellow"/>
        </w:rPr>
      </w:pPr>
      <w:r>
        <w:rPr>
          <w:b w:val="0"/>
          <w:bCs w:val="0"/>
          <w:color w:val="000000" w:themeColor="text1"/>
          <w:highlight w:val="yellow"/>
        </w:rPr>
        <w:t xml:space="preserve">It includes requirements that demand responsive controls </w:t>
      </w:r>
      <w:r w:rsidR="000B4EC8">
        <w:rPr>
          <w:b w:val="0"/>
          <w:bCs w:val="0"/>
          <w:color w:val="000000" w:themeColor="text1"/>
          <w:highlight w:val="yellow"/>
        </w:rPr>
        <w:t>shall comply with accepted industry-standard communications signals and protocols, including flexibility to allow controls to use one of several currently</w:t>
      </w:r>
      <w:r w:rsidR="00915E8F">
        <w:rPr>
          <w:b w:val="0"/>
          <w:bCs w:val="0"/>
          <w:color w:val="000000" w:themeColor="text1"/>
          <w:highlight w:val="yellow"/>
        </w:rPr>
        <w:t xml:space="preserve">-available </w:t>
      </w:r>
      <w:r w:rsidR="000B4EC8">
        <w:rPr>
          <w:b w:val="0"/>
          <w:bCs w:val="0"/>
          <w:color w:val="000000" w:themeColor="text1"/>
          <w:highlight w:val="yellow"/>
        </w:rPr>
        <w:t>options</w:t>
      </w:r>
      <w:r w:rsidR="00C109DA">
        <w:rPr>
          <w:b w:val="0"/>
          <w:bCs w:val="0"/>
          <w:color w:val="000000" w:themeColor="text1"/>
          <w:highlight w:val="yellow"/>
        </w:rPr>
        <w:t>.</w:t>
      </w:r>
      <w:r w:rsidR="0057208D">
        <w:rPr>
          <w:b w:val="0"/>
          <w:bCs w:val="0"/>
          <w:color w:val="000000" w:themeColor="text1"/>
          <w:highlight w:val="yellow"/>
        </w:rPr>
        <w:t xml:space="preserve"> These requirements align with California’s Title 24 energy code as well as proposal REPI-70.</w:t>
      </w:r>
    </w:p>
    <w:p w14:paraId="736B4A4B" w14:textId="68A8128F" w:rsidR="00097E0F" w:rsidRDefault="00993869">
      <w:pPr>
        <w:pStyle w:val="Heading1"/>
        <w:spacing w:before="150"/>
      </w:pPr>
      <w:r>
        <w:rPr>
          <w:color w:val="231F20"/>
        </w:rPr>
        <w:t>Reason</w:t>
      </w:r>
      <w:r>
        <w:rPr>
          <w:color w:val="231F20"/>
          <w:spacing w:val="1"/>
        </w:rPr>
        <w:t xml:space="preserve"> </w:t>
      </w:r>
      <w:r>
        <w:rPr>
          <w:color w:val="231F20"/>
          <w:spacing w:val="-2"/>
        </w:rPr>
        <w:t>Statement:</w:t>
      </w:r>
    </w:p>
    <w:p w14:paraId="736B4A4C" w14:textId="77777777" w:rsidR="00097E0F" w:rsidRDefault="00097E0F">
      <w:pPr>
        <w:pStyle w:val="BodyText"/>
        <w:spacing w:before="6"/>
        <w:rPr>
          <w:b/>
        </w:rPr>
      </w:pPr>
    </w:p>
    <w:p w14:paraId="62162D7B" w14:textId="77777777" w:rsidR="00E75457" w:rsidRPr="00E75457" w:rsidRDefault="00E75457" w:rsidP="00E75457">
      <w:pPr>
        <w:pStyle w:val="BodyText"/>
        <w:spacing w:line="278" w:lineRule="auto"/>
        <w:ind w:left="100" w:right="247"/>
        <w:rPr>
          <w:color w:val="231F20"/>
        </w:rPr>
      </w:pPr>
      <w:r w:rsidRPr="00E75457">
        <w:rPr>
          <w:color w:val="231F20"/>
        </w:rPr>
        <w:t>Grid-integrated controls for thermostats are added based on language from California Title 24 and ASHRAE Standard 189.1. Any</w:t>
      </w:r>
    </w:p>
    <w:p w14:paraId="07DBBE86" w14:textId="77777777" w:rsidR="00E75457" w:rsidRPr="00E75457" w:rsidRDefault="00E75457" w:rsidP="00E75457">
      <w:pPr>
        <w:pStyle w:val="BodyText"/>
        <w:spacing w:line="278" w:lineRule="auto"/>
        <w:ind w:left="100" w:right="247"/>
        <w:rPr>
          <w:color w:val="231F20"/>
        </w:rPr>
      </w:pPr>
      <w:r w:rsidRPr="00E75457">
        <w:rPr>
          <w:color w:val="231F20"/>
        </w:rPr>
        <w:t>thermostat listed as “Title 24 compliant” would meet this requirement. The controls allow for dialing back heating and cooling, as well</w:t>
      </w:r>
    </w:p>
    <w:p w14:paraId="1428D14E" w14:textId="77777777" w:rsidR="00E75457" w:rsidRPr="00E75457" w:rsidRDefault="00E75457" w:rsidP="00E75457">
      <w:pPr>
        <w:pStyle w:val="BodyText"/>
        <w:spacing w:line="278" w:lineRule="auto"/>
        <w:ind w:left="100" w:right="247"/>
        <w:rPr>
          <w:color w:val="231F20"/>
        </w:rPr>
      </w:pPr>
      <w:r w:rsidRPr="00E75457">
        <w:rPr>
          <w:color w:val="231F20"/>
        </w:rPr>
        <w:t>as to accept additional heating or cooling when renewable energy generation is high or energy prices are low, and both ramp up and</w:t>
      </w:r>
    </w:p>
    <w:p w14:paraId="7CF260C5" w14:textId="77777777" w:rsidR="00E75457" w:rsidRPr="00E75457" w:rsidRDefault="00E75457" w:rsidP="00E75457">
      <w:pPr>
        <w:pStyle w:val="BodyText"/>
        <w:spacing w:line="278" w:lineRule="auto"/>
        <w:ind w:left="100" w:right="247"/>
        <w:rPr>
          <w:color w:val="231F20"/>
        </w:rPr>
      </w:pPr>
      <w:r w:rsidRPr="00E75457">
        <w:rPr>
          <w:color w:val="231F20"/>
        </w:rPr>
        <w:t>down requirements in relationship to the utility/grid operator/third party aggregator signal to prevent rebound issues on the grid after</w:t>
      </w:r>
    </w:p>
    <w:p w14:paraId="797751AF" w14:textId="77777777" w:rsidR="00E75457" w:rsidRPr="00E75457" w:rsidRDefault="00E75457" w:rsidP="00E75457">
      <w:pPr>
        <w:pStyle w:val="BodyText"/>
        <w:spacing w:line="278" w:lineRule="auto"/>
        <w:ind w:left="100" w:right="247"/>
        <w:rPr>
          <w:color w:val="231F20"/>
        </w:rPr>
      </w:pPr>
      <w:r w:rsidRPr="00E75457">
        <w:rPr>
          <w:color w:val="231F20"/>
        </w:rPr>
        <w:t>the signal is released.</w:t>
      </w:r>
    </w:p>
    <w:p w14:paraId="7185AAF8" w14:textId="77777777" w:rsidR="00E75457" w:rsidRPr="00E75457" w:rsidRDefault="00E75457" w:rsidP="00E75457">
      <w:pPr>
        <w:pStyle w:val="BodyText"/>
        <w:spacing w:line="278" w:lineRule="auto"/>
        <w:ind w:left="100" w:right="247"/>
        <w:rPr>
          <w:color w:val="231F20"/>
        </w:rPr>
      </w:pPr>
      <w:r w:rsidRPr="00E75457">
        <w:rPr>
          <w:color w:val="231F20"/>
        </w:rPr>
        <w:t>In health care and assisted living facilities, thermostat setpoints can impact more than just thermal comfort, and temperature can be</w:t>
      </w:r>
    </w:p>
    <w:p w14:paraId="2FFCEACC" w14:textId="77777777" w:rsidR="00E75457" w:rsidRPr="00E75457" w:rsidRDefault="00E75457" w:rsidP="00E75457">
      <w:pPr>
        <w:pStyle w:val="BodyText"/>
        <w:spacing w:line="278" w:lineRule="auto"/>
        <w:ind w:left="100" w:right="247"/>
        <w:rPr>
          <w:color w:val="231F20"/>
        </w:rPr>
      </w:pPr>
      <w:r w:rsidRPr="00E75457">
        <w:rPr>
          <w:color w:val="231F20"/>
        </w:rPr>
        <w:t>part of the health care being provided. To ensure that this requirement cannot have an adverse impact on those services, these</w:t>
      </w:r>
    </w:p>
    <w:p w14:paraId="14C873F2" w14:textId="77777777" w:rsidR="00E75457" w:rsidRPr="00E75457" w:rsidRDefault="00E75457" w:rsidP="00E75457">
      <w:pPr>
        <w:pStyle w:val="BodyText"/>
        <w:spacing w:line="278" w:lineRule="auto"/>
        <w:ind w:left="100" w:right="247"/>
        <w:rPr>
          <w:color w:val="231F20"/>
        </w:rPr>
      </w:pPr>
      <w:r w:rsidRPr="00E75457">
        <w:rPr>
          <w:color w:val="231F20"/>
        </w:rPr>
        <w:t>facilities have been exempted from this requirement.</w:t>
      </w:r>
    </w:p>
    <w:p w14:paraId="6914CA9A" w14:textId="77777777" w:rsidR="00E75457" w:rsidRPr="00E75457" w:rsidRDefault="00E75457" w:rsidP="00E75457">
      <w:pPr>
        <w:pStyle w:val="BodyText"/>
        <w:spacing w:line="278" w:lineRule="auto"/>
        <w:ind w:left="100" w:right="247"/>
        <w:rPr>
          <w:color w:val="231F20"/>
        </w:rPr>
      </w:pPr>
      <w:r w:rsidRPr="00E75457">
        <w:rPr>
          <w:color w:val="231F20"/>
        </w:rPr>
        <w:t>HVAC system control, often through thermostats, has been at the center of demand response (DR) programs for decades. DR</w:t>
      </w:r>
    </w:p>
    <w:p w14:paraId="5DAD5EEB" w14:textId="77777777" w:rsidR="00E75457" w:rsidRPr="00E75457" w:rsidRDefault="00E75457" w:rsidP="00E75457">
      <w:pPr>
        <w:pStyle w:val="BodyText"/>
        <w:spacing w:line="278" w:lineRule="auto"/>
        <w:ind w:left="100" w:right="247"/>
        <w:rPr>
          <w:color w:val="231F20"/>
        </w:rPr>
      </w:pPr>
      <w:r w:rsidRPr="00E75457">
        <w:rPr>
          <w:color w:val="231F20"/>
        </w:rPr>
        <w:t>programs continue to rely deeply on thermostat control strategies, but the need for such controls is fast growing. As electricity systems</w:t>
      </w:r>
    </w:p>
    <w:p w14:paraId="5F1F4991" w14:textId="77777777" w:rsidR="00E75457" w:rsidRPr="00E75457" w:rsidRDefault="00E75457" w:rsidP="00E75457">
      <w:pPr>
        <w:pStyle w:val="BodyText"/>
        <w:spacing w:line="278" w:lineRule="auto"/>
        <w:ind w:left="100" w:right="247"/>
        <w:rPr>
          <w:color w:val="231F20"/>
        </w:rPr>
      </w:pPr>
      <w:r w:rsidRPr="00E75457">
        <w:rPr>
          <w:color w:val="231F20"/>
        </w:rPr>
        <w:lastRenderedPageBreak/>
        <w:t>transform to include more variable wind and solar energy, demand flexibility becomes increasingly critical to both grid operation and</w:t>
      </w:r>
    </w:p>
    <w:p w14:paraId="4E56249B" w14:textId="77777777" w:rsidR="00E75457" w:rsidRPr="00E75457" w:rsidRDefault="00E75457" w:rsidP="00E75457">
      <w:pPr>
        <w:pStyle w:val="BodyText"/>
        <w:spacing w:line="278" w:lineRule="auto"/>
        <w:ind w:left="100" w:right="247"/>
        <w:rPr>
          <w:color w:val="231F20"/>
        </w:rPr>
      </w:pPr>
      <w:r w:rsidRPr="00E75457">
        <w:rPr>
          <w:color w:val="231F20"/>
        </w:rPr>
        <w:t>further transformation. Building systems that can use energy when it is abundant, clean, and low-cost not only help decarbonize the</w:t>
      </w:r>
    </w:p>
    <w:p w14:paraId="59C71B7C" w14:textId="77777777" w:rsidR="00E75457" w:rsidRPr="00E75457" w:rsidRDefault="00E75457" w:rsidP="00E75457">
      <w:pPr>
        <w:pStyle w:val="BodyText"/>
        <w:spacing w:line="278" w:lineRule="auto"/>
        <w:ind w:left="100" w:right="247"/>
        <w:rPr>
          <w:color w:val="231F20"/>
        </w:rPr>
      </w:pPr>
      <w:r w:rsidRPr="00E75457">
        <w:rPr>
          <w:color w:val="231F20"/>
        </w:rPr>
        <w:t>entire energy system, they also insulate their owners from future increases in demand charges and peak hour energy rates – a current</w:t>
      </w:r>
    </w:p>
    <w:p w14:paraId="46764155" w14:textId="77777777" w:rsidR="00E75457" w:rsidRPr="00E75457" w:rsidRDefault="00E75457" w:rsidP="00E75457">
      <w:pPr>
        <w:pStyle w:val="BodyText"/>
        <w:spacing w:line="278" w:lineRule="auto"/>
        <w:ind w:left="100" w:right="247"/>
        <w:rPr>
          <w:color w:val="231F20"/>
        </w:rPr>
      </w:pPr>
      <w:r w:rsidRPr="00E75457">
        <w:rPr>
          <w:color w:val="231F20"/>
        </w:rPr>
        <w:t>and accelerating trend.</w:t>
      </w:r>
    </w:p>
    <w:p w14:paraId="41B53930" w14:textId="77777777" w:rsidR="00E75457" w:rsidRPr="00E75457" w:rsidRDefault="00E75457" w:rsidP="00E75457">
      <w:pPr>
        <w:pStyle w:val="BodyText"/>
        <w:spacing w:line="278" w:lineRule="auto"/>
        <w:ind w:left="100" w:right="247"/>
        <w:rPr>
          <w:color w:val="231F20"/>
        </w:rPr>
      </w:pPr>
      <w:r w:rsidRPr="00E75457">
        <w:rPr>
          <w:color w:val="231F20"/>
        </w:rPr>
        <w:t>Today’s demand response programs typically set event (call) durations between 15 minutes and 4 hours. The preconditioning</w:t>
      </w:r>
    </w:p>
    <w:p w14:paraId="605FC213" w14:textId="77777777" w:rsidR="00E75457" w:rsidRPr="00E75457" w:rsidRDefault="00E75457" w:rsidP="00E75457">
      <w:pPr>
        <w:pStyle w:val="BodyText"/>
        <w:spacing w:line="278" w:lineRule="auto"/>
        <w:ind w:left="100" w:right="247"/>
        <w:rPr>
          <w:color w:val="231F20"/>
        </w:rPr>
      </w:pPr>
      <w:r w:rsidRPr="00E75457">
        <w:rPr>
          <w:color w:val="231F20"/>
        </w:rPr>
        <w:t>strategies (cooling set point reduction / heating set point increase) and temporary setback strategies (cooling set point increase /</w:t>
      </w:r>
    </w:p>
    <w:p w14:paraId="6250A81A" w14:textId="192AE021" w:rsidR="00E75457" w:rsidRPr="00E75457" w:rsidRDefault="00E75457" w:rsidP="00E75457">
      <w:pPr>
        <w:pStyle w:val="BodyText"/>
        <w:spacing w:line="278" w:lineRule="auto"/>
        <w:ind w:left="100" w:right="247"/>
        <w:rPr>
          <w:color w:val="231F20"/>
        </w:rPr>
      </w:pPr>
      <w:r w:rsidRPr="00E75457">
        <w:rPr>
          <w:color w:val="231F20"/>
        </w:rPr>
        <w:t>heating set point reduction) will enable substantial HVAC system energy savings over this time frame. In many cases, in a building</w:t>
      </w:r>
      <w:r w:rsidRPr="00E75457">
        <w:t xml:space="preserve"> </w:t>
      </w:r>
      <w:r w:rsidRPr="00E75457">
        <w:rPr>
          <w:color w:val="231F20"/>
        </w:rPr>
        <w:t>compliant with this code, tenants are unlikely to even notice a change in their thermal comfort. The inclusion of preconditioning helps</w:t>
      </w:r>
    </w:p>
    <w:p w14:paraId="4B4DDFA3" w14:textId="77777777" w:rsidR="00E75457" w:rsidRPr="00E75457" w:rsidRDefault="00E75457" w:rsidP="00E75457">
      <w:pPr>
        <w:pStyle w:val="BodyText"/>
        <w:spacing w:line="278" w:lineRule="auto"/>
        <w:ind w:left="100" w:right="247"/>
        <w:rPr>
          <w:color w:val="231F20"/>
        </w:rPr>
      </w:pPr>
      <w:r w:rsidRPr="00E75457">
        <w:rPr>
          <w:color w:val="231F20"/>
        </w:rPr>
        <w:t xml:space="preserve">ensure that the building </w:t>
      </w:r>
      <w:proofErr w:type="gramStart"/>
      <w:r w:rsidRPr="00E75457">
        <w:rPr>
          <w:color w:val="231F20"/>
        </w:rPr>
        <w:t>is able to</w:t>
      </w:r>
      <w:proofErr w:type="gramEnd"/>
      <w:r w:rsidRPr="00E75457">
        <w:rPr>
          <w:color w:val="231F20"/>
        </w:rPr>
        <w:t xml:space="preserve"> reduce electrical demand by adjusting HVAC setpoints while minimizing the risk of tenant disruption:</w:t>
      </w:r>
    </w:p>
    <w:p w14:paraId="0589432A" w14:textId="77777777" w:rsidR="00E75457" w:rsidRPr="00E75457" w:rsidRDefault="00E75457" w:rsidP="00E75457">
      <w:pPr>
        <w:pStyle w:val="BodyText"/>
        <w:spacing w:line="278" w:lineRule="auto"/>
        <w:ind w:left="100" w:right="247"/>
        <w:rPr>
          <w:color w:val="231F20"/>
        </w:rPr>
      </w:pPr>
      <w:r w:rsidRPr="00E75457">
        <w:rPr>
          <w:color w:val="231F20"/>
        </w:rPr>
        <w:t>in many cases the event will end before the higher cooling (or lower heating) set point is reached in the space.</w:t>
      </w:r>
    </w:p>
    <w:p w14:paraId="7DE258A7" w14:textId="77777777" w:rsidR="00E75457" w:rsidRPr="00E75457" w:rsidRDefault="00E75457" w:rsidP="00E75457">
      <w:pPr>
        <w:pStyle w:val="BodyText"/>
        <w:spacing w:line="278" w:lineRule="auto"/>
        <w:ind w:left="100" w:right="247"/>
        <w:rPr>
          <w:color w:val="231F20"/>
        </w:rPr>
      </w:pPr>
      <w:r w:rsidRPr="00E75457">
        <w:rPr>
          <w:color w:val="231F20"/>
        </w:rPr>
        <w:t>Based on modeling by LBNL (foundational modeling supporting the May 2021 DOE Grid-integrated Efficient Buildings Roadmap),</w:t>
      </w:r>
    </w:p>
    <w:p w14:paraId="6F6FF9EC" w14:textId="77777777" w:rsidR="00E75457" w:rsidRPr="00E75457" w:rsidRDefault="00E75457" w:rsidP="00E75457">
      <w:pPr>
        <w:pStyle w:val="BodyText"/>
        <w:spacing w:line="278" w:lineRule="auto"/>
        <w:ind w:left="100" w:right="247"/>
        <w:rPr>
          <w:color w:val="231F20"/>
        </w:rPr>
      </w:pPr>
      <w:r w:rsidRPr="00E75457">
        <w:rPr>
          <w:color w:val="231F20"/>
        </w:rPr>
        <w:t>thermostat controls configured to deliver preconditioning and/or space temperature adjustments can reduce building peak demand by</w:t>
      </w:r>
    </w:p>
    <w:p w14:paraId="238B6281" w14:textId="35D3CB4C" w:rsidR="00E75457" w:rsidRDefault="00E75457" w:rsidP="00E75457">
      <w:pPr>
        <w:pStyle w:val="BodyText"/>
        <w:spacing w:line="278" w:lineRule="auto"/>
        <w:ind w:left="100" w:right="247"/>
        <w:rPr>
          <w:color w:val="231F20"/>
        </w:rPr>
      </w:pPr>
      <w:r w:rsidRPr="00E75457">
        <w:rPr>
          <w:color w:val="231F20"/>
        </w:rPr>
        <w:t>roughly 10% in many cases.</w:t>
      </w:r>
    </w:p>
    <w:p w14:paraId="24AB35CC" w14:textId="77777777" w:rsidR="00E75457" w:rsidRDefault="00E75457" w:rsidP="00E75457">
      <w:pPr>
        <w:pStyle w:val="BodyText"/>
        <w:spacing w:line="278" w:lineRule="auto"/>
        <w:ind w:left="100" w:right="247"/>
        <w:rPr>
          <w:color w:val="231F20"/>
        </w:rPr>
      </w:pPr>
    </w:p>
    <w:p w14:paraId="2FD8FB18" w14:textId="77777777" w:rsidR="008C2937" w:rsidRPr="008C2937" w:rsidRDefault="008C2937" w:rsidP="008C2937">
      <w:pPr>
        <w:pStyle w:val="BodyText"/>
        <w:spacing w:before="6"/>
        <w:rPr>
          <w:b/>
          <w:bCs/>
          <w:color w:val="231F20"/>
        </w:rPr>
      </w:pPr>
      <w:r w:rsidRPr="008C2937">
        <w:rPr>
          <w:b/>
          <w:bCs/>
          <w:color w:val="231F20"/>
        </w:rPr>
        <w:t>Bibliography:</w:t>
      </w:r>
    </w:p>
    <w:p w14:paraId="32259379" w14:textId="77777777" w:rsidR="008C2937" w:rsidRPr="008C2937" w:rsidRDefault="008C2937" w:rsidP="004426E8">
      <w:pPr>
        <w:pStyle w:val="BodyText"/>
        <w:spacing w:before="6"/>
        <w:rPr>
          <w:color w:val="231F20"/>
        </w:rPr>
      </w:pPr>
      <w:r w:rsidRPr="008C2937">
        <w:rPr>
          <w:color w:val="231F20"/>
        </w:rPr>
        <w:t>A National Roadmap for Grid-Interactive Efficient Buildings, U.S. Department of Energy, 17 May</w:t>
      </w:r>
    </w:p>
    <w:p w14:paraId="669754EF" w14:textId="77777777" w:rsidR="008C2937" w:rsidRPr="008C2937" w:rsidRDefault="008C2937" w:rsidP="004426E8">
      <w:pPr>
        <w:pStyle w:val="BodyText"/>
        <w:spacing w:before="6"/>
        <w:rPr>
          <w:color w:val="231F20"/>
        </w:rPr>
      </w:pPr>
      <w:r w:rsidRPr="008C2937">
        <w:rPr>
          <w:color w:val="231F20"/>
        </w:rPr>
        <w:t>2021, https://gebroadmap.lbl.gov/A%20National%20Roadmap%20for%20GEBs%20-%20Final.pdf.</w:t>
      </w:r>
    </w:p>
    <w:p w14:paraId="570C10BC" w14:textId="77777777" w:rsidR="00B47390" w:rsidRDefault="00B47390" w:rsidP="004426E8">
      <w:pPr>
        <w:pStyle w:val="BodyText"/>
        <w:spacing w:before="6"/>
        <w:rPr>
          <w:color w:val="231F20"/>
        </w:rPr>
      </w:pPr>
    </w:p>
    <w:p w14:paraId="56A235B5" w14:textId="34DB2AF7" w:rsidR="008C2937" w:rsidRPr="008C2937" w:rsidRDefault="008C2937" w:rsidP="004426E8">
      <w:pPr>
        <w:pStyle w:val="BodyText"/>
        <w:spacing w:before="6"/>
        <w:rPr>
          <w:color w:val="231F20"/>
        </w:rPr>
      </w:pPr>
      <w:r w:rsidRPr="008C2937">
        <w:rPr>
          <w:color w:val="231F20"/>
        </w:rPr>
        <w:t>Final CASE Report: Upgradeable Setback Thermostats, California Statewide Codes and Standards Enhancement (CASE) Program,</w:t>
      </w:r>
    </w:p>
    <w:p w14:paraId="27F33546" w14:textId="77777777" w:rsidR="008C2937" w:rsidRPr="008C2937" w:rsidRDefault="008C2937" w:rsidP="004426E8">
      <w:pPr>
        <w:pStyle w:val="BodyText"/>
        <w:spacing w:before="6"/>
        <w:rPr>
          <w:color w:val="231F20"/>
        </w:rPr>
      </w:pPr>
      <w:r w:rsidRPr="008C2937">
        <w:rPr>
          <w:color w:val="231F20"/>
        </w:rPr>
        <w:t>October 2011, https://title24stakeholders.com/wp-content/uploads/2020/01/2013_CASE-Report_Upgradeable-Setback-</w:t>
      </w:r>
    </w:p>
    <w:p w14:paraId="384F9413" w14:textId="77777777" w:rsidR="008C2937" w:rsidRPr="008C2937" w:rsidRDefault="008C2937" w:rsidP="004426E8">
      <w:pPr>
        <w:pStyle w:val="BodyText"/>
        <w:spacing w:before="6"/>
        <w:rPr>
          <w:color w:val="231F20"/>
        </w:rPr>
      </w:pPr>
      <w:r w:rsidRPr="008C2937">
        <w:rPr>
          <w:color w:val="231F20"/>
        </w:rPr>
        <w:t>Thermostats.pdf</w:t>
      </w:r>
    </w:p>
    <w:p w14:paraId="3F203A28" w14:textId="77777777" w:rsidR="00B47390" w:rsidRDefault="00B47390" w:rsidP="004426E8">
      <w:pPr>
        <w:pStyle w:val="BodyText"/>
        <w:spacing w:before="6"/>
        <w:rPr>
          <w:color w:val="231F20"/>
        </w:rPr>
      </w:pPr>
    </w:p>
    <w:p w14:paraId="5FF067FB" w14:textId="5263E14E" w:rsidR="008C2937" w:rsidRPr="008C2937" w:rsidRDefault="008C2937" w:rsidP="004426E8">
      <w:pPr>
        <w:pStyle w:val="BodyText"/>
        <w:spacing w:before="6"/>
        <w:rPr>
          <w:color w:val="231F20"/>
        </w:rPr>
      </w:pPr>
      <w:proofErr w:type="spellStart"/>
      <w:r w:rsidRPr="008C2937">
        <w:rPr>
          <w:color w:val="231F20"/>
        </w:rPr>
        <w:t>SupplyHouse</w:t>
      </w:r>
      <w:proofErr w:type="spellEnd"/>
      <w:r w:rsidRPr="008C2937">
        <w:rPr>
          <w:color w:val="231F20"/>
        </w:rPr>
        <w:t xml:space="preserve">. “T3700 - </w:t>
      </w:r>
      <w:proofErr w:type="spellStart"/>
      <w:r w:rsidRPr="008C2937">
        <w:rPr>
          <w:color w:val="231F20"/>
        </w:rPr>
        <w:t>Venstar</w:t>
      </w:r>
      <w:proofErr w:type="spellEnd"/>
      <w:r w:rsidRPr="008C2937">
        <w:rPr>
          <w:color w:val="231F20"/>
        </w:rPr>
        <w:t xml:space="preserve"> T3700 - Explorer T3700 Residential Digital Thermostat (2 Heat, 1</w:t>
      </w:r>
    </w:p>
    <w:p w14:paraId="24D1E22D" w14:textId="77777777" w:rsidR="008C2937" w:rsidRPr="008C2937" w:rsidRDefault="008C2937" w:rsidP="004426E8">
      <w:pPr>
        <w:pStyle w:val="BodyText"/>
        <w:spacing w:before="6"/>
        <w:rPr>
          <w:color w:val="231F20"/>
        </w:rPr>
      </w:pPr>
      <w:r w:rsidRPr="008C2937">
        <w:rPr>
          <w:color w:val="231F20"/>
        </w:rPr>
        <w:t>Cool).” SupplyHouse.com, www.supplyhouse.com/Venstar-T3700-Explorer-T3700-Residential-Digital-Thermostat-2-Heat-1-</w:t>
      </w:r>
    </w:p>
    <w:p w14:paraId="22DE9198" w14:textId="77777777" w:rsidR="008C2937" w:rsidRPr="008C2937" w:rsidRDefault="008C2937" w:rsidP="004426E8">
      <w:pPr>
        <w:pStyle w:val="BodyText"/>
        <w:spacing w:before="6"/>
        <w:rPr>
          <w:color w:val="231F20"/>
        </w:rPr>
      </w:pPr>
      <w:r w:rsidRPr="008C2937">
        <w:rPr>
          <w:color w:val="231F20"/>
        </w:rPr>
        <w:t xml:space="preserve">Cool. </w:t>
      </w:r>
      <w:proofErr w:type="spellStart"/>
      <w:r w:rsidRPr="008C2937">
        <w:rPr>
          <w:color w:val="231F20"/>
        </w:rPr>
        <w:t>SupplyHouse</w:t>
      </w:r>
      <w:proofErr w:type="spellEnd"/>
      <w:r w:rsidRPr="008C2937">
        <w:rPr>
          <w:color w:val="231F20"/>
        </w:rPr>
        <w:t xml:space="preserve">. “T1010 - </w:t>
      </w:r>
      <w:proofErr w:type="spellStart"/>
      <w:r w:rsidRPr="008C2937">
        <w:rPr>
          <w:color w:val="231F20"/>
        </w:rPr>
        <w:t>Venstar</w:t>
      </w:r>
      <w:proofErr w:type="spellEnd"/>
      <w:r w:rsidRPr="008C2937">
        <w:rPr>
          <w:color w:val="231F20"/>
        </w:rPr>
        <w:t xml:space="preserve"> T1010 –Single Day Programmable Digital</w:t>
      </w:r>
    </w:p>
    <w:p w14:paraId="4F84455E" w14:textId="77777777" w:rsidR="008C2937" w:rsidRPr="008C2937" w:rsidRDefault="008C2937" w:rsidP="004426E8">
      <w:pPr>
        <w:pStyle w:val="BodyText"/>
        <w:spacing w:before="6"/>
        <w:rPr>
          <w:color w:val="231F20"/>
        </w:rPr>
      </w:pPr>
      <w:r w:rsidRPr="008C2937">
        <w:rPr>
          <w:color w:val="231F20"/>
        </w:rPr>
        <w:t>Thermostat” SupplyHouse.com, https://www.supplyhouse.com/Venstar-T1010-Venstar-T1010-Single-Day-Programmable-Digital-</w:t>
      </w:r>
    </w:p>
    <w:p w14:paraId="2065F620" w14:textId="77777777" w:rsidR="008C2937" w:rsidRPr="008C2937" w:rsidRDefault="008C2937" w:rsidP="004426E8">
      <w:pPr>
        <w:pStyle w:val="BodyText"/>
        <w:spacing w:before="6"/>
        <w:rPr>
          <w:color w:val="231F20"/>
        </w:rPr>
      </w:pPr>
      <w:r w:rsidRPr="008C2937">
        <w:rPr>
          <w:color w:val="231F20"/>
        </w:rPr>
        <w:t>Thermostat</w:t>
      </w:r>
    </w:p>
    <w:p w14:paraId="4981878A" w14:textId="77777777" w:rsidR="00B47390" w:rsidRDefault="00B47390" w:rsidP="004426E8">
      <w:pPr>
        <w:pStyle w:val="BodyText"/>
        <w:spacing w:before="6"/>
        <w:rPr>
          <w:color w:val="231F20"/>
        </w:rPr>
      </w:pPr>
    </w:p>
    <w:p w14:paraId="5910B09D" w14:textId="7D91DDB4" w:rsidR="004426E8" w:rsidRDefault="004426E8" w:rsidP="004426E8">
      <w:pPr>
        <w:pStyle w:val="BodyText"/>
        <w:spacing w:before="6"/>
        <w:rPr>
          <w:color w:val="231F20"/>
        </w:rPr>
      </w:pPr>
      <w:r>
        <w:rPr>
          <w:color w:val="231F20"/>
        </w:rPr>
        <w:t xml:space="preserve">Home Depot. </w:t>
      </w:r>
      <w:r w:rsidR="00E410E2">
        <w:rPr>
          <w:color w:val="231F20"/>
        </w:rPr>
        <w:t xml:space="preserve">“Honeywell Home Wi-Fi 7-Day Programmable Smart Thermostat” </w:t>
      </w:r>
      <w:r w:rsidR="008C2937" w:rsidRPr="008C2937">
        <w:rPr>
          <w:color w:val="231F20"/>
        </w:rPr>
        <w:t>https://www.homedepot.com/p/Honeywell-Home-Wi-Fi-7-Day-Programmable-Smart-Thermostat-with-Digital-Backlit-Display-RTH6580WF/203556922</w:t>
      </w:r>
    </w:p>
    <w:p w14:paraId="6E140E85" w14:textId="77777777" w:rsidR="004426E8" w:rsidRDefault="004426E8" w:rsidP="004426E8">
      <w:pPr>
        <w:pStyle w:val="BodyText"/>
        <w:spacing w:before="6"/>
        <w:rPr>
          <w:color w:val="231F20"/>
        </w:rPr>
      </w:pPr>
    </w:p>
    <w:p w14:paraId="773E7B24" w14:textId="51A15848" w:rsidR="008C2937" w:rsidRPr="008C2937" w:rsidRDefault="00E410E2" w:rsidP="004426E8">
      <w:pPr>
        <w:pStyle w:val="BodyText"/>
        <w:spacing w:before="6"/>
        <w:rPr>
          <w:color w:val="231F20"/>
        </w:rPr>
      </w:pPr>
      <w:r>
        <w:rPr>
          <w:color w:val="231F20"/>
        </w:rPr>
        <w:t xml:space="preserve">Home Depot. “Honeywell Home 5-1-1 Day Programmable Thermostat” </w:t>
      </w:r>
      <w:r w:rsidR="008C2937" w:rsidRPr="008C2937">
        <w:rPr>
          <w:color w:val="231F20"/>
        </w:rPr>
        <w:t>https://www.homedepot.com/p/Honeywell-Home-5-1-1-Day-Programmable-Thermostat-with-Digital-Backlit-Display-RTH2410B/203539465?ITC=AUC-63044-23-12070</w:t>
      </w:r>
    </w:p>
    <w:p w14:paraId="7EFF20B0" w14:textId="77777777" w:rsidR="00B47390" w:rsidRDefault="00B47390" w:rsidP="004426E8">
      <w:pPr>
        <w:pStyle w:val="BodyText"/>
        <w:spacing w:before="6"/>
        <w:rPr>
          <w:color w:val="231F20"/>
        </w:rPr>
      </w:pPr>
    </w:p>
    <w:p w14:paraId="330702C0" w14:textId="09398710" w:rsidR="008C2937" w:rsidRPr="008C2937" w:rsidRDefault="008C2937" w:rsidP="004426E8">
      <w:pPr>
        <w:pStyle w:val="BodyText"/>
        <w:spacing w:before="6"/>
        <w:rPr>
          <w:color w:val="231F20"/>
        </w:rPr>
      </w:pPr>
      <w:r w:rsidRPr="008C2937">
        <w:rPr>
          <w:color w:val="231F20"/>
        </w:rPr>
        <w:t>2017 Tier III TRM Characterizations, Advanced</w:t>
      </w:r>
    </w:p>
    <w:p w14:paraId="2F013E2B" w14:textId="77777777" w:rsidR="008C2937" w:rsidRPr="008C2937" w:rsidRDefault="008C2937" w:rsidP="004426E8">
      <w:pPr>
        <w:pStyle w:val="BodyText"/>
        <w:spacing w:before="6"/>
        <w:rPr>
          <w:color w:val="231F20"/>
        </w:rPr>
      </w:pPr>
      <w:r w:rsidRPr="008C2937">
        <w:rPr>
          <w:color w:val="231F20"/>
        </w:rPr>
        <w:t>Thermostat https://publicservice.vermont.gov/sites/dps/files/documents/2017%20Tier%20III%20TRM%20Characterizations.pdf.</w:t>
      </w:r>
    </w:p>
    <w:p w14:paraId="41F4D260" w14:textId="77777777" w:rsidR="00B47390" w:rsidRDefault="00B47390" w:rsidP="004426E8">
      <w:pPr>
        <w:pStyle w:val="BodyText"/>
        <w:spacing w:before="6"/>
        <w:rPr>
          <w:color w:val="231F20"/>
        </w:rPr>
      </w:pPr>
    </w:p>
    <w:p w14:paraId="5DBAB6DC" w14:textId="1C9602C4" w:rsidR="008C2937" w:rsidRPr="00B47390" w:rsidRDefault="008C2937" w:rsidP="008C2937">
      <w:pPr>
        <w:pStyle w:val="BodyText"/>
        <w:spacing w:before="6"/>
        <w:rPr>
          <w:b/>
          <w:bCs/>
          <w:color w:val="231F20"/>
        </w:rPr>
      </w:pPr>
      <w:r w:rsidRPr="00B47390">
        <w:rPr>
          <w:b/>
          <w:bCs/>
          <w:color w:val="231F20"/>
        </w:rPr>
        <w:t>Cost Impact:</w:t>
      </w:r>
    </w:p>
    <w:p w14:paraId="0BA1DC55" w14:textId="77777777" w:rsidR="00B47390" w:rsidRDefault="00B47390" w:rsidP="008C2937">
      <w:pPr>
        <w:pStyle w:val="BodyText"/>
        <w:spacing w:before="6"/>
        <w:rPr>
          <w:color w:val="231F20"/>
        </w:rPr>
      </w:pPr>
    </w:p>
    <w:p w14:paraId="5F05FB73" w14:textId="61A82BB6" w:rsidR="008C2937" w:rsidRPr="008C2937" w:rsidRDefault="008C2937" w:rsidP="008C2937">
      <w:pPr>
        <w:pStyle w:val="BodyText"/>
        <w:spacing w:before="6"/>
        <w:rPr>
          <w:color w:val="231F20"/>
        </w:rPr>
      </w:pPr>
      <w:r w:rsidRPr="008C2937">
        <w:rPr>
          <w:color w:val="231F20"/>
        </w:rPr>
        <w:t>The code change proposal will increase the cost of construction.</w:t>
      </w:r>
    </w:p>
    <w:p w14:paraId="7F6B8160" w14:textId="77777777" w:rsidR="00B47390" w:rsidRDefault="00B47390" w:rsidP="008C2937">
      <w:pPr>
        <w:pStyle w:val="BodyText"/>
        <w:spacing w:before="6"/>
        <w:rPr>
          <w:color w:val="231F20"/>
        </w:rPr>
      </w:pPr>
    </w:p>
    <w:p w14:paraId="7EF1C90D" w14:textId="53130B8C" w:rsidR="008C2937" w:rsidRDefault="008C2937" w:rsidP="008C2937">
      <w:pPr>
        <w:pStyle w:val="BodyText"/>
        <w:spacing w:before="6"/>
        <w:rPr>
          <w:color w:val="231F20"/>
        </w:rPr>
      </w:pPr>
      <w:r w:rsidRPr="008C2937">
        <w:rPr>
          <w:color w:val="231F20"/>
        </w:rPr>
        <w:t>For larger commercial buildings with building management systems, it is not common to install a thermostat without demand response</w:t>
      </w:r>
      <w:r w:rsidR="00D40D14">
        <w:rPr>
          <w:color w:val="231F20"/>
        </w:rPr>
        <w:t xml:space="preserve"> </w:t>
      </w:r>
      <w:r w:rsidRPr="008C2937">
        <w:rPr>
          <w:color w:val="231F20"/>
        </w:rPr>
        <w:t>capabilities. Therefore, there is no incremental equipment cost associated with this measure for those building types. However, there</w:t>
      </w:r>
      <w:r w:rsidR="00D40D14">
        <w:rPr>
          <w:color w:val="231F20"/>
        </w:rPr>
        <w:t xml:space="preserve"> </w:t>
      </w:r>
      <w:r w:rsidRPr="008C2937">
        <w:rPr>
          <w:color w:val="231F20"/>
        </w:rPr>
        <w:t>could be soft costs to ensure those demand responsive controls function properly with the building management system.</w:t>
      </w:r>
      <w:r w:rsidR="00D40D14">
        <w:rPr>
          <w:color w:val="231F20"/>
        </w:rPr>
        <w:t xml:space="preserve"> </w:t>
      </w:r>
      <w:r w:rsidRPr="008C2937">
        <w:rPr>
          <w:color w:val="231F20"/>
        </w:rPr>
        <w:t>Conversations with industry experts indicate these soft costs can be around $0.25/</w:t>
      </w:r>
      <w:proofErr w:type="spellStart"/>
      <w:r w:rsidRPr="008C2937">
        <w:rPr>
          <w:color w:val="231F20"/>
        </w:rPr>
        <w:t>s.f.</w:t>
      </w:r>
      <w:proofErr w:type="spellEnd"/>
      <w:r w:rsidRPr="008C2937">
        <w:rPr>
          <w:color w:val="231F20"/>
        </w:rPr>
        <w:t xml:space="preserve"> for a medium office building. The primary cost</w:t>
      </w:r>
      <w:r w:rsidR="00D40D14">
        <w:rPr>
          <w:color w:val="231F20"/>
        </w:rPr>
        <w:t xml:space="preserve"> </w:t>
      </w:r>
      <w:r w:rsidRPr="008C2937">
        <w:rPr>
          <w:color w:val="231F20"/>
        </w:rPr>
        <w:t>drivers in thermostats are not the grid-integration controls but rather other features. Therefore, incremental costs vary. An entry-level</w:t>
      </w:r>
      <w:r w:rsidR="00D40D14">
        <w:rPr>
          <w:color w:val="231F20"/>
        </w:rPr>
        <w:t xml:space="preserve"> </w:t>
      </w:r>
      <w:r w:rsidRPr="008C2937">
        <w:rPr>
          <w:color w:val="231F20"/>
        </w:rPr>
        <w:t>grid-integrated thermostat currently available from a national retailer costs about $70, while the same retailer lists a similar non-grid-</w:t>
      </w:r>
      <w:r w:rsidR="00D40D14">
        <w:rPr>
          <w:color w:val="231F20"/>
        </w:rPr>
        <w:t xml:space="preserve"> </w:t>
      </w:r>
      <w:r w:rsidRPr="008C2937">
        <w:rPr>
          <w:color w:val="231F20"/>
        </w:rPr>
        <w:t>integrated programmable unit for just over $35, indicating an incremental cost of about $35. This cost has dropped in the last</w:t>
      </w:r>
      <w:r w:rsidR="005351B0">
        <w:rPr>
          <w:color w:val="231F20"/>
        </w:rPr>
        <w:t xml:space="preserve"> five </w:t>
      </w:r>
      <w:r w:rsidRPr="005351B0">
        <w:rPr>
          <w:color w:val="231F20"/>
        </w:rPr>
        <w:t>years</w:t>
      </w:r>
      <w:r w:rsidR="005351B0">
        <w:rPr>
          <w:color w:val="231F20"/>
        </w:rPr>
        <w:t>.</w:t>
      </w:r>
      <w:r w:rsidRPr="008C2937">
        <w:rPr>
          <w:color w:val="231F20"/>
        </w:rPr>
        <w:t xml:space="preserve"> A 2017 study out of</w:t>
      </w:r>
      <w:r w:rsidR="00D40D14">
        <w:rPr>
          <w:color w:val="231F20"/>
        </w:rPr>
        <w:t xml:space="preserve"> </w:t>
      </w:r>
      <w:r w:rsidRPr="008C2937">
        <w:rPr>
          <w:color w:val="231F20"/>
        </w:rPr>
        <w:t>Vermont cited incremental costs for smart thermostats in new construction at roughly $150 – a decrease in</w:t>
      </w:r>
      <w:r w:rsidR="00D40D14">
        <w:rPr>
          <w:color w:val="231F20"/>
        </w:rPr>
        <w:t xml:space="preserve"> </w:t>
      </w:r>
      <w:r w:rsidRPr="008C2937">
        <w:rPr>
          <w:color w:val="231F20"/>
        </w:rPr>
        <w:t>incremental costs of $115 over just 4 years.</w:t>
      </w:r>
    </w:p>
    <w:p w14:paraId="51C71521" w14:textId="77777777" w:rsidR="005C5457" w:rsidRPr="008C2937" w:rsidRDefault="005C5457" w:rsidP="008C2937">
      <w:pPr>
        <w:pStyle w:val="BodyText"/>
        <w:spacing w:before="6"/>
        <w:rPr>
          <w:color w:val="231F20"/>
        </w:rPr>
      </w:pPr>
    </w:p>
    <w:p w14:paraId="538A04B7" w14:textId="035478CC" w:rsidR="008C2937" w:rsidRDefault="008C2937" w:rsidP="008C2937">
      <w:pPr>
        <w:pStyle w:val="BodyText"/>
        <w:spacing w:before="6"/>
        <w:rPr>
          <w:color w:val="231F20"/>
        </w:rPr>
      </w:pPr>
      <w:r w:rsidRPr="008C2937">
        <w:rPr>
          <w:color w:val="231F20"/>
        </w:rPr>
        <w:t>However, smart thermostats (i.e., those with grid-integrated controls) are very common in new construction and represent a growing</w:t>
      </w:r>
      <w:r w:rsidR="00D40D14">
        <w:rPr>
          <w:color w:val="231F20"/>
        </w:rPr>
        <w:t xml:space="preserve"> </w:t>
      </w:r>
      <w:r w:rsidRPr="008C2937">
        <w:rPr>
          <w:color w:val="231F20"/>
        </w:rPr>
        <w:t>share of the retrofit market. All major smart thermostat brands already include grid-integration controls that comply with this</w:t>
      </w:r>
      <w:r w:rsidR="00D40D14">
        <w:rPr>
          <w:color w:val="231F20"/>
        </w:rPr>
        <w:t xml:space="preserve"> </w:t>
      </w:r>
      <w:r w:rsidRPr="008C2937">
        <w:rPr>
          <w:color w:val="231F20"/>
        </w:rPr>
        <w:t>requirement, so there is generally no incremental cost to include these controls assuming a smart thermostat is installed either based</w:t>
      </w:r>
      <w:r w:rsidR="00D40D14">
        <w:rPr>
          <w:color w:val="231F20"/>
        </w:rPr>
        <w:t xml:space="preserve"> </w:t>
      </w:r>
      <w:r w:rsidRPr="008C2937">
        <w:rPr>
          <w:color w:val="231F20"/>
        </w:rPr>
        <w:t>on customer preference or efficiency requirements.</w:t>
      </w:r>
    </w:p>
    <w:p w14:paraId="6E624086" w14:textId="77777777" w:rsidR="005C5457" w:rsidRPr="008C2937" w:rsidRDefault="005C5457" w:rsidP="008C2937">
      <w:pPr>
        <w:pStyle w:val="BodyText"/>
        <w:spacing w:before="6"/>
        <w:rPr>
          <w:color w:val="231F20"/>
        </w:rPr>
      </w:pPr>
    </w:p>
    <w:p w14:paraId="736B4A5A" w14:textId="5697A7F7" w:rsidR="00097E0F" w:rsidRDefault="008C2937" w:rsidP="00D40D14">
      <w:pPr>
        <w:pStyle w:val="BodyText"/>
        <w:spacing w:before="6"/>
      </w:pPr>
      <w:r w:rsidRPr="008C2937">
        <w:rPr>
          <w:color w:val="231F20"/>
        </w:rPr>
        <w:t>Multifamily buildings and smaller commercial buildings that install direct-attached thermostats, demand responsive thermostats (which</w:t>
      </w:r>
      <w:r w:rsidR="00D40D14">
        <w:rPr>
          <w:color w:val="231F20"/>
        </w:rPr>
        <w:t xml:space="preserve"> </w:t>
      </w:r>
      <w:r w:rsidRPr="008C2937">
        <w:rPr>
          <w:color w:val="231F20"/>
        </w:rPr>
        <w:t>were estimated in a 2011 study to cost $68 more than a programmable thermostat) were found to be extremely cost effective. It was</w:t>
      </w:r>
      <w:r w:rsidR="00D40D14" w:rsidRPr="00D40D14">
        <w:t xml:space="preserve"> </w:t>
      </w:r>
      <w:r w:rsidR="00D40D14">
        <w:rPr>
          <w:color w:val="231F20"/>
        </w:rPr>
        <w:t>estimated t</w:t>
      </w:r>
      <w:r w:rsidR="00D40D14" w:rsidRPr="00D40D14">
        <w:rPr>
          <w:color w:val="231F20"/>
        </w:rPr>
        <w:t xml:space="preserve">hat installing demand responsive thermostats in a 10,000 </w:t>
      </w:r>
      <w:proofErr w:type="spellStart"/>
      <w:r w:rsidR="00D40D14" w:rsidRPr="00D40D14">
        <w:rPr>
          <w:color w:val="231F20"/>
        </w:rPr>
        <w:t>s.f.</w:t>
      </w:r>
      <w:proofErr w:type="spellEnd"/>
      <w:r w:rsidR="00D40D14" w:rsidRPr="00D40D14">
        <w:rPr>
          <w:color w:val="231F20"/>
        </w:rPr>
        <w:t xml:space="preserve"> office building resulted in 83kWh to 274 kWh of electricity</w:t>
      </w:r>
      <w:r w:rsidR="00D40D14">
        <w:rPr>
          <w:color w:val="231F20"/>
        </w:rPr>
        <w:t xml:space="preserve"> </w:t>
      </w:r>
      <w:r w:rsidR="00D40D14" w:rsidRPr="00D40D14">
        <w:rPr>
          <w:color w:val="231F20"/>
        </w:rPr>
        <w:t>savings and between 0.19 to 1.97kW in demand savings in Climate Zones 2-4. Every dollar spent on demand responsive</w:t>
      </w:r>
      <w:r w:rsidR="00D40D14">
        <w:rPr>
          <w:color w:val="231F20"/>
        </w:rPr>
        <w:t xml:space="preserve"> </w:t>
      </w:r>
      <w:r w:rsidR="00D40D14" w:rsidRPr="00D40D14">
        <w:rPr>
          <w:color w:val="231F20"/>
        </w:rPr>
        <w:t>thermostats yielded between</w:t>
      </w:r>
      <w:r w:rsidR="00D40D14">
        <w:rPr>
          <w:color w:val="231F20"/>
        </w:rPr>
        <w:t xml:space="preserve"> </w:t>
      </w:r>
      <w:r w:rsidR="00D40D14" w:rsidRPr="00D40D14">
        <w:rPr>
          <w:color w:val="231F20"/>
        </w:rPr>
        <w:t>$1.20 to $7 in operating cost savings over a 15-year period for office buildings. In the 10 years</w:t>
      </w:r>
      <w:r w:rsidR="00D40D14">
        <w:rPr>
          <w:color w:val="231F20"/>
        </w:rPr>
        <w:t xml:space="preserve"> </w:t>
      </w:r>
      <w:r w:rsidR="00D40D14" w:rsidRPr="00D40D14">
        <w:rPr>
          <w:color w:val="231F20"/>
        </w:rPr>
        <w:t>since, equipment prices have decrease and</w:t>
      </w:r>
      <w:r w:rsidR="00D40D14">
        <w:rPr>
          <w:color w:val="231F20"/>
        </w:rPr>
        <w:t xml:space="preserve"> </w:t>
      </w:r>
      <w:r w:rsidR="00D40D14" w:rsidRPr="00D40D14">
        <w:rPr>
          <w:color w:val="231F20"/>
        </w:rPr>
        <w:t>incremental costs are estimated to be only $40 making this measure even more cost</w:t>
      </w:r>
      <w:r w:rsidR="00D40D14">
        <w:rPr>
          <w:color w:val="231F20"/>
        </w:rPr>
        <w:t xml:space="preserve"> </w:t>
      </w:r>
      <w:r w:rsidR="00D40D14" w:rsidRPr="00D40D14">
        <w:rPr>
          <w:color w:val="231F20"/>
        </w:rPr>
        <w:t>effective than estimated previously for buildings</w:t>
      </w:r>
      <w:r w:rsidR="00D40D14">
        <w:rPr>
          <w:color w:val="231F20"/>
        </w:rPr>
        <w:t xml:space="preserve"> </w:t>
      </w:r>
      <w:r w:rsidR="00D40D14" w:rsidRPr="00D40D14">
        <w:rPr>
          <w:color w:val="231F20"/>
        </w:rPr>
        <w:t>without building management systems. This measure will not only result in cost</w:t>
      </w:r>
      <w:r w:rsidR="00D40D14">
        <w:rPr>
          <w:color w:val="231F20"/>
        </w:rPr>
        <w:t xml:space="preserve"> </w:t>
      </w:r>
      <w:r w:rsidR="00D40D14" w:rsidRPr="00D40D14">
        <w:rPr>
          <w:color w:val="231F20"/>
        </w:rPr>
        <w:t>savings for consumers but will also result in other significant</w:t>
      </w:r>
      <w:r w:rsidR="00D40D14">
        <w:rPr>
          <w:color w:val="231F20"/>
        </w:rPr>
        <w:t xml:space="preserve"> </w:t>
      </w:r>
      <w:r w:rsidR="00D40D14" w:rsidRPr="00D40D14">
        <w:rPr>
          <w:color w:val="231F20"/>
        </w:rPr>
        <w:t>societal benefits. According to DOE’s report, “A National Roadmap for</w:t>
      </w:r>
      <w:r w:rsidR="00D40D14">
        <w:rPr>
          <w:color w:val="231F20"/>
        </w:rPr>
        <w:t xml:space="preserve"> </w:t>
      </w:r>
      <w:r w:rsidR="00D40D14" w:rsidRPr="00D40D14">
        <w:rPr>
          <w:color w:val="231F20"/>
        </w:rPr>
        <w:t>Grid-Interactive Efficient Buildings,” every watt in peak demand savings was found to create 17 cents in annual electric grid system</w:t>
      </w:r>
      <w:r w:rsidR="00D40D14">
        <w:rPr>
          <w:color w:val="231F20"/>
        </w:rPr>
        <w:t xml:space="preserve"> </w:t>
      </w:r>
      <w:r w:rsidR="00D40D14" w:rsidRPr="00D40D14">
        <w:rPr>
          <w:color w:val="231F20"/>
        </w:rPr>
        <w:t>value. This value included energy savings, capacity savings,</w:t>
      </w:r>
      <w:r w:rsidR="00D40D14">
        <w:rPr>
          <w:color w:val="231F20"/>
        </w:rPr>
        <w:t xml:space="preserve"> </w:t>
      </w:r>
      <w:r w:rsidR="00D40D14" w:rsidRPr="00D40D14">
        <w:rPr>
          <w:color w:val="231F20"/>
        </w:rPr>
        <w:t>transmission deferral and ancillary services. A 10,000 square foot office</w:t>
      </w:r>
      <w:r w:rsidR="00D40D14">
        <w:rPr>
          <w:color w:val="231F20"/>
        </w:rPr>
        <w:t xml:space="preserve"> </w:t>
      </w:r>
      <w:r w:rsidR="00D40D14" w:rsidRPr="00D40D14">
        <w:rPr>
          <w:color w:val="231F20"/>
        </w:rPr>
        <w:t>building with a demand responsive thermostat which is estimated</w:t>
      </w:r>
      <w:r w:rsidR="00D40D14">
        <w:rPr>
          <w:color w:val="231F20"/>
        </w:rPr>
        <w:t xml:space="preserve"> </w:t>
      </w:r>
      <w:r w:rsidR="00D40D14" w:rsidRPr="00D40D14">
        <w:rPr>
          <w:color w:val="231F20"/>
        </w:rPr>
        <w:t>to reduce peak demand savings between 0.26 to 1.09kW would</w:t>
      </w:r>
      <w:r w:rsidR="00D40D14">
        <w:rPr>
          <w:color w:val="231F20"/>
        </w:rPr>
        <w:t xml:space="preserve"> </w:t>
      </w:r>
      <w:r w:rsidR="00D40D14" w:rsidRPr="00D40D14">
        <w:rPr>
          <w:color w:val="231F20"/>
        </w:rPr>
        <w:t>result in $44 to $334 in annual electric grid system value. Demand</w:t>
      </w:r>
      <w:r w:rsidR="00D40D14">
        <w:rPr>
          <w:color w:val="231F20"/>
        </w:rPr>
        <w:t xml:space="preserve"> </w:t>
      </w:r>
      <w:r w:rsidR="00D40D14" w:rsidRPr="00D40D14">
        <w:rPr>
          <w:color w:val="231F20"/>
        </w:rPr>
        <w:t>responsive thermostats which allow grid operators to reduce</w:t>
      </w:r>
      <w:r w:rsidR="00D40D14">
        <w:rPr>
          <w:color w:val="231F20"/>
        </w:rPr>
        <w:t xml:space="preserve"> </w:t>
      </w:r>
      <w:r w:rsidR="00D40D14" w:rsidRPr="00D40D14">
        <w:rPr>
          <w:color w:val="231F20"/>
        </w:rPr>
        <w:t>demand on the grid during the times when the carbon intensity of the electric</w:t>
      </w:r>
      <w:r w:rsidR="00D40D14">
        <w:rPr>
          <w:color w:val="231F20"/>
        </w:rPr>
        <w:t xml:space="preserve"> </w:t>
      </w:r>
      <w:r w:rsidR="00D40D14" w:rsidRPr="00D40D14">
        <w:rPr>
          <w:color w:val="231F20"/>
        </w:rPr>
        <w:lastRenderedPageBreak/>
        <w:t>grid is high also results in reduced carbon emissions</w:t>
      </w:r>
      <w:r w:rsidR="00D40D14">
        <w:rPr>
          <w:color w:val="231F20"/>
        </w:rPr>
        <w:t xml:space="preserve"> </w:t>
      </w:r>
      <w:r w:rsidR="00D40D14" w:rsidRPr="00D40D14">
        <w:rPr>
          <w:color w:val="231F20"/>
        </w:rPr>
        <w:t>generating additional significant societal benefits.</w:t>
      </w:r>
    </w:p>
    <w:sectPr w:rsidR="00097E0F">
      <w:footerReference w:type="default" r:id="rId10"/>
      <w:pgSz w:w="12240" w:h="15840"/>
      <w:pgMar w:top="820" w:right="560" w:bottom="420" w:left="560" w:header="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5F6B" w14:textId="77777777" w:rsidR="00006868" w:rsidRDefault="00006868">
      <w:r>
        <w:separator/>
      </w:r>
    </w:p>
  </w:endnote>
  <w:endnote w:type="continuationSeparator" w:id="0">
    <w:p w14:paraId="62851394" w14:textId="77777777" w:rsidR="00006868" w:rsidRDefault="0000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B4A74" w14:textId="77777777" w:rsidR="00097E0F" w:rsidRDefault="00100137">
    <w:pPr>
      <w:pStyle w:val="BodyText"/>
      <w:spacing w:line="14" w:lineRule="auto"/>
      <w:rPr>
        <w:sz w:val="20"/>
      </w:rPr>
    </w:pPr>
    <w:r>
      <w:rPr>
        <w:noProof/>
      </w:rPr>
      <mc:AlternateContent>
        <mc:Choice Requires="wps">
          <w:drawing>
            <wp:anchor distT="0" distB="0" distL="114300" distR="114300" simplePos="0" relativeHeight="487531520" behindDoc="1" locked="0" layoutInCell="1" allowOverlap="1" wp14:anchorId="736B4A75" wp14:editId="27C44B69">
              <wp:simplePos x="0" y="0"/>
              <wp:positionH relativeFrom="page">
                <wp:posOffset>901700</wp:posOffset>
              </wp:positionH>
              <wp:positionV relativeFrom="page">
                <wp:posOffset>9770110</wp:posOffset>
              </wp:positionV>
              <wp:extent cx="3458210" cy="139065"/>
              <wp:effectExtent l="0" t="0" r="8890" b="63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82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4A77" w14:textId="77777777" w:rsidR="00097E0F" w:rsidRDefault="00993869">
                          <w:pPr>
                            <w:spacing w:before="14"/>
                            <w:ind w:left="20"/>
                            <w:rPr>
                              <w:b/>
                              <w:sz w:val="16"/>
                            </w:rPr>
                          </w:pPr>
                          <w:r>
                            <w:rPr>
                              <w:b/>
                              <w:color w:val="231F20"/>
                              <w:sz w:val="16"/>
                            </w:rPr>
                            <w:t>2021</w:t>
                          </w:r>
                          <w:r>
                            <w:rPr>
                              <w:b/>
                              <w:color w:val="231F20"/>
                              <w:spacing w:val="-5"/>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2"/>
                              <w:sz w:val="16"/>
                            </w:rPr>
                            <w:t xml:space="preserve"> </w:t>
                          </w:r>
                          <w:r>
                            <w:rPr>
                              <w:b/>
                              <w:color w:val="231F20"/>
                              <w:spacing w:val="-5"/>
                              <w:sz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B4A75" id="_x0000_t202" coordsize="21600,21600" o:spt="202" path="m,l,21600r21600,l21600,xe">
              <v:stroke joinstyle="miter"/>
              <v:path gradientshapeok="t" o:connecttype="rect"/>
            </v:shapetype>
            <v:shape id="docshape1" o:spid="_x0000_s1026" type="#_x0000_t202" style="position:absolute;margin-left:71pt;margin-top:769.3pt;width:272.3pt;height:10.9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" filled="f" stroked="f">
              <v:path arrowok="t"/>
              <v:textbox inset="0,0,0,0">
                <w:txbxContent>
                  <w:p w14:paraId="736B4A77" w14:textId="77777777" w:rsidR="00097E0F" w:rsidRDefault="00993869">
                    <w:pPr>
                      <w:spacing w:before="14"/>
                      <w:ind w:left="20"/>
                      <w:rPr>
                        <w:b/>
                        <w:sz w:val="16"/>
                      </w:rPr>
                    </w:pPr>
                    <w:r>
                      <w:rPr>
                        <w:b/>
                        <w:color w:val="231F20"/>
                        <w:sz w:val="16"/>
                      </w:rPr>
                      <w:t>2021</w:t>
                    </w:r>
                    <w:r>
                      <w:rPr>
                        <w:b/>
                        <w:color w:val="231F20"/>
                        <w:spacing w:val="-5"/>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2"/>
                        <w:sz w:val="16"/>
                      </w:rPr>
                      <w:t xml:space="preserve"> </w:t>
                    </w:r>
                    <w:r>
                      <w:rPr>
                        <w:b/>
                        <w:color w:val="231F20"/>
                        <w:spacing w:val="-5"/>
                        <w:sz w:val="16"/>
                      </w:rPr>
                      <w:t>15</w:t>
                    </w:r>
                  </w:p>
                </w:txbxContent>
              </v:textbox>
              <w10:wrap anchorx="page" anchory="page"/>
            </v:shape>
          </w:pict>
        </mc:Fallback>
      </mc:AlternateContent>
    </w:r>
    <w:r>
      <w:rPr>
        <w:noProof/>
      </w:rPr>
      <mc:AlternateContent>
        <mc:Choice Requires="wps">
          <w:drawing>
            <wp:anchor distT="0" distB="0" distL="114300" distR="114300" simplePos="0" relativeHeight="487532032" behindDoc="1" locked="0" layoutInCell="1" allowOverlap="1" wp14:anchorId="736B4A76" wp14:editId="308DB4EA">
              <wp:simplePos x="0" y="0"/>
              <wp:positionH relativeFrom="page">
                <wp:posOffset>6534785</wp:posOffset>
              </wp:positionH>
              <wp:positionV relativeFrom="page">
                <wp:posOffset>9770110</wp:posOffset>
              </wp:positionV>
              <wp:extent cx="374015" cy="139065"/>
              <wp:effectExtent l="0" t="0" r="6985" b="635"/>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40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4A78" w14:textId="77777777" w:rsidR="00097E0F" w:rsidRDefault="00993869">
                          <w:pPr>
                            <w:spacing w:before="14"/>
                            <w:ind w:left="20"/>
                            <w:rPr>
                              <w:b/>
                              <w:sz w:val="16"/>
                            </w:rPr>
                          </w:pPr>
                          <w:r>
                            <w:rPr>
                              <w:b/>
                              <w:color w:val="231F20"/>
                              <w:spacing w:val="-2"/>
                              <w:sz w:val="16"/>
                            </w:rPr>
                            <w:t>CE</w:t>
                          </w:r>
                          <w:r>
                            <w:rPr>
                              <w:b/>
                              <w:color w:val="231F20"/>
                              <w:spacing w:val="-2"/>
                              <w:sz w:val="16"/>
                            </w:rPr>
                            <w:fldChar w:fldCharType="begin"/>
                          </w:r>
                          <w:r>
                            <w:rPr>
                              <w:b/>
                              <w:color w:val="231F20"/>
                              <w:spacing w:val="-2"/>
                              <w:sz w:val="16"/>
                            </w:rPr>
                            <w:instrText xml:space="preserve"> PAGE </w:instrText>
                          </w:r>
                          <w:r>
                            <w:rPr>
                              <w:b/>
                              <w:color w:val="231F20"/>
                              <w:spacing w:val="-2"/>
                              <w:sz w:val="16"/>
                            </w:rPr>
                            <w:fldChar w:fldCharType="separate"/>
                          </w:r>
                          <w:r>
                            <w:rPr>
                              <w:b/>
                              <w:color w:val="231F20"/>
                              <w:spacing w:val="-2"/>
                              <w:sz w:val="16"/>
                            </w:rPr>
                            <w:t>362</w:t>
                          </w:r>
                          <w:r>
                            <w:rPr>
                              <w:b/>
                              <w:color w:val="231F20"/>
                              <w:spacing w:val="-2"/>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B4A76" id="docshape2" o:spid="_x0000_s1027" type="#_x0000_t202" style="position:absolute;margin-left:514.55pt;margin-top:769.3pt;width:29.45pt;height:10.95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" filled="f" stroked="f">
              <v:path arrowok="t"/>
              <v:textbox inset="0,0,0,0">
                <w:txbxContent>
                  <w:p w14:paraId="736B4A78" w14:textId="77777777" w:rsidR="00097E0F" w:rsidRDefault="00993869">
                    <w:pPr>
                      <w:spacing w:before="14"/>
                      <w:ind w:left="20"/>
                      <w:rPr>
                        <w:b/>
                        <w:sz w:val="16"/>
                      </w:rPr>
                    </w:pPr>
                    <w:r>
                      <w:rPr>
                        <w:b/>
                        <w:color w:val="231F20"/>
                        <w:spacing w:val="-2"/>
                        <w:sz w:val="16"/>
                      </w:rPr>
                      <w:t>CE</w:t>
                    </w:r>
                    <w:r>
                      <w:rPr>
                        <w:b/>
                        <w:color w:val="231F20"/>
                        <w:spacing w:val="-2"/>
                        <w:sz w:val="16"/>
                      </w:rPr>
                      <w:fldChar w:fldCharType="begin"/>
                    </w:r>
                    <w:r>
                      <w:rPr>
                        <w:b/>
                        <w:color w:val="231F20"/>
                        <w:spacing w:val="-2"/>
                        <w:sz w:val="16"/>
                      </w:rPr>
                      <w:instrText xml:space="preserve"> PAGE </w:instrText>
                    </w:r>
                    <w:r>
                      <w:rPr>
                        <w:b/>
                        <w:color w:val="231F20"/>
                        <w:spacing w:val="-2"/>
                        <w:sz w:val="16"/>
                      </w:rPr>
                      <w:fldChar w:fldCharType="separate"/>
                    </w:r>
                    <w:r>
                      <w:rPr>
                        <w:b/>
                        <w:color w:val="231F20"/>
                        <w:spacing w:val="-2"/>
                        <w:sz w:val="16"/>
                      </w:rPr>
                      <w:t>362</w:t>
                    </w:r>
                    <w:r>
                      <w:rPr>
                        <w:b/>
                        <w:color w:val="231F20"/>
                        <w:spacing w:val="-2"/>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93BEE" w14:textId="77777777" w:rsidR="00006868" w:rsidRDefault="00006868">
      <w:r>
        <w:separator/>
      </w:r>
    </w:p>
  </w:footnote>
  <w:footnote w:type="continuationSeparator" w:id="0">
    <w:p w14:paraId="229FF893" w14:textId="77777777" w:rsidR="00006868" w:rsidRDefault="00006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50EC5"/>
    <w:multiLevelType w:val="hybridMultilevel"/>
    <w:tmpl w:val="905A4134"/>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18A17F63"/>
    <w:multiLevelType w:val="hybridMultilevel"/>
    <w:tmpl w:val="95B835BC"/>
    <w:lvl w:ilvl="0" w:tplc="3D6A5E2E">
      <w:start w:val="3"/>
      <w:numFmt w:val="bullet"/>
      <w:lvlText w:val=""/>
      <w:lvlJc w:val="left"/>
      <w:pPr>
        <w:ind w:left="720" w:hanging="620"/>
      </w:pPr>
      <w:rPr>
        <w:rFonts w:ascii="Symbol" w:eastAsia="Arial" w:hAnsi="Symbo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8BB6FF4"/>
    <w:multiLevelType w:val="multilevel"/>
    <w:tmpl w:val="47620E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D31C09"/>
    <w:multiLevelType w:val="hybridMultilevel"/>
    <w:tmpl w:val="109A46A0"/>
    <w:lvl w:ilvl="0" w:tplc="CE088C58">
      <w:start w:val="1"/>
      <w:numFmt w:val="decimal"/>
      <w:lvlText w:val="%1."/>
      <w:lvlJc w:val="left"/>
      <w:pPr>
        <w:ind w:left="460" w:hanging="360"/>
      </w:pPr>
      <w:rPr>
        <w:rFonts w:hint="default"/>
        <w:strike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3E9A6DE4"/>
    <w:multiLevelType w:val="hybridMultilevel"/>
    <w:tmpl w:val="CFF0B330"/>
    <w:lvl w:ilvl="0" w:tplc="A10E018C">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4A030ED6"/>
    <w:multiLevelType w:val="hybridMultilevel"/>
    <w:tmpl w:val="984E6640"/>
    <w:lvl w:ilvl="0" w:tplc="6A0CE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F4A1D"/>
    <w:multiLevelType w:val="hybridMultilevel"/>
    <w:tmpl w:val="F398BBF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698A243E"/>
    <w:multiLevelType w:val="hybridMultilevel"/>
    <w:tmpl w:val="F66E6648"/>
    <w:lvl w:ilvl="0" w:tplc="8F8A21B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8C312F"/>
    <w:multiLevelType w:val="hybridMultilevel"/>
    <w:tmpl w:val="37E264B2"/>
    <w:lvl w:ilvl="0" w:tplc="4718ECE8">
      <w:start w:val="1"/>
      <w:numFmt w:val="decimal"/>
      <w:lvlText w:val="%1."/>
      <w:lvlJc w:val="left"/>
      <w:pPr>
        <w:ind w:left="710" w:hanging="58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num w:numId="1">
    <w:abstractNumId w:val="0"/>
  </w:num>
  <w:num w:numId="2">
    <w:abstractNumId w:val="8"/>
  </w:num>
  <w:num w:numId="3">
    <w:abstractNumId w:val="6"/>
  </w:num>
  <w:num w:numId="4">
    <w:abstractNumId w:val="1"/>
  </w:num>
  <w:num w:numId="5">
    <w:abstractNumId w:val="7"/>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0F"/>
    <w:rsid w:val="00006868"/>
    <w:rsid w:val="000277D4"/>
    <w:rsid w:val="00036FD6"/>
    <w:rsid w:val="00064386"/>
    <w:rsid w:val="00097E0F"/>
    <w:rsid w:val="000B4651"/>
    <w:rsid w:val="000B4EC8"/>
    <w:rsid w:val="000C1D35"/>
    <w:rsid w:val="00100137"/>
    <w:rsid w:val="001651A2"/>
    <w:rsid w:val="00172C3C"/>
    <w:rsid w:val="001A4B84"/>
    <w:rsid w:val="001B19B1"/>
    <w:rsid w:val="00203665"/>
    <w:rsid w:val="00337F95"/>
    <w:rsid w:val="003A44CA"/>
    <w:rsid w:val="004426E8"/>
    <w:rsid w:val="00452D17"/>
    <w:rsid w:val="00492ACB"/>
    <w:rsid w:val="004B60AB"/>
    <w:rsid w:val="005351B0"/>
    <w:rsid w:val="00544C28"/>
    <w:rsid w:val="0057208D"/>
    <w:rsid w:val="005B38FE"/>
    <w:rsid w:val="005B51A9"/>
    <w:rsid w:val="005C025D"/>
    <w:rsid w:val="005C5457"/>
    <w:rsid w:val="005E4E6B"/>
    <w:rsid w:val="00641AD9"/>
    <w:rsid w:val="006B6EB7"/>
    <w:rsid w:val="00722F3E"/>
    <w:rsid w:val="00823444"/>
    <w:rsid w:val="00875C2B"/>
    <w:rsid w:val="008C2937"/>
    <w:rsid w:val="009032A6"/>
    <w:rsid w:val="0091321A"/>
    <w:rsid w:val="00915E8F"/>
    <w:rsid w:val="0095703B"/>
    <w:rsid w:val="00993869"/>
    <w:rsid w:val="009A299A"/>
    <w:rsid w:val="009F5E63"/>
    <w:rsid w:val="00AE47BB"/>
    <w:rsid w:val="00B47390"/>
    <w:rsid w:val="00C109DA"/>
    <w:rsid w:val="00C663AA"/>
    <w:rsid w:val="00C745B3"/>
    <w:rsid w:val="00C7789E"/>
    <w:rsid w:val="00CD27D9"/>
    <w:rsid w:val="00D40D14"/>
    <w:rsid w:val="00D45C89"/>
    <w:rsid w:val="00D732EF"/>
    <w:rsid w:val="00DE440C"/>
    <w:rsid w:val="00E410E2"/>
    <w:rsid w:val="00E465E7"/>
    <w:rsid w:val="00E75457"/>
    <w:rsid w:val="00F2299B"/>
    <w:rsid w:val="00F3249E"/>
    <w:rsid w:val="00F63597"/>
    <w:rsid w:val="00F917CE"/>
    <w:rsid w:val="00FF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B4A31"/>
  <w15:docId w15:val="{6D5AECFD-40F1-4A03-BD4E-C7C96421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7"/>
      <w:ind w:left="10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37F95"/>
    <w:rPr>
      <w:sz w:val="16"/>
      <w:szCs w:val="16"/>
    </w:rPr>
  </w:style>
  <w:style w:type="paragraph" w:styleId="CommentText">
    <w:name w:val="annotation text"/>
    <w:basedOn w:val="Normal"/>
    <w:link w:val="CommentTextChar"/>
    <w:uiPriority w:val="99"/>
    <w:unhideWhenUsed/>
    <w:rsid w:val="00337F95"/>
    <w:pPr>
      <w:widowControl/>
      <w:autoSpaceDE/>
      <w:autoSpaceDN/>
      <w:ind w:left="72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37F95"/>
    <w:rPr>
      <w:sz w:val="20"/>
      <w:szCs w:val="20"/>
    </w:rPr>
  </w:style>
  <w:style w:type="table" w:styleId="TableGrid">
    <w:name w:val="Table Grid"/>
    <w:basedOn w:val="TableNormal"/>
    <w:rsid w:val="00337F9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7F95"/>
    <w:rPr>
      <w:color w:val="0000FF" w:themeColor="hyperlink"/>
      <w:u w:val="single"/>
    </w:rPr>
  </w:style>
  <w:style w:type="character" w:styleId="UnresolvedMention">
    <w:name w:val="Unresolved Mention"/>
    <w:basedOn w:val="DefaultParagraphFont"/>
    <w:uiPriority w:val="99"/>
    <w:semiHidden/>
    <w:unhideWhenUsed/>
    <w:rsid w:val="00492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35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2004692-a83b-4e1e-b868-ef75efccb025" xsi:nil="true"/>
    <lcf76f155ced4ddcb4097134ff3c332f xmlns="d2004692-a83b-4e1e-b868-ef75efccb025">
      <Terms xmlns="http://schemas.microsoft.com/office/infopath/2007/PartnerControls"/>
    </lcf76f155ced4ddcb4097134ff3c332f>
    <TaxCatchAll xmlns="1c6c2a5a-b89f-4baa-8462-4507b32dae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F2FC4FD661A243A2CE26D4C88BB242" ma:contentTypeVersion="17" ma:contentTypeDescription="Create a new document." ma:contentTypeScope="" ma:versionID="9b208a8342eeacedab8468cba6156caa">
  <xsd:schema xmlns:xsd="http://www.w3.org/2001/XMLSchema" xmlns:xs="http://www.w3.org/2001/XMLSchema" xmlns:p="http://schemas.microsoft.com/office/2006/metadata/properties" xmlns:ns2="d2004692-a83b-4e1e-b868-ef75efccb025" xmlns:ns3="1c6c2a5a-b89f-4baa-8462-4507b32daec6" targetNamespace="http://schemas.microsoft.com/office/2006/metadata/properties" ma:root="true" ma:fieldsID="73f5bda799126cb10ebd45bd76585a45" ns2:_="" ns3:_="">
    <xsd:import namespace="d2004692-a83b-4e1e-b868-ef75efccb025"/>
    <xsd:import namespace="1c6c2a5a-b89f-4baa-8462-4507b32dae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04692-a83b-4e1e-b868-ef75efcc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0e9ff8-30de-4c4b-a929-e783ad101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6c2a5a-b89f-4baa-8462-4507b32dae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db4f89-e7e1-4241-99b3-c4ebb5761c23}" ma:internalName="TaxCatchAll" ma:showField="CatchAllData" ma:web="1c6c2a5a-b89f-4baa-8462-4507b32dae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C2AA7-F7D2-4798-A229-BBC12B84A86F}">
  <ds:schemaRefs>
    <ds:schemaRef ds:uri="http://schemas.microsoft.com/sharepoint/v3/contenttype/forms"/>
  </ds:schemaRefs>
</ds:datastoreItem>
</file>

<file path=customXml/itemProps2.xml><?xml version="1.0" encoding="utf-8"?>
<ds:datastoreItem xmlns:ds="http://schemas.openxmlformats.org/officeDocument/2006/customXml" ds:itemID="{4FF7A34C-7642-4F81-AC42-595737B2FAC7}">
  <ds:schemaRefs>
    <ds:schemaRef ds:uri="http://schemas.microsoft.com/office/2006/metadata/properties"/>
    <ds:schemaRef ds:uri="http://schemas.microsoft.com/office/infopath/2007/PartnerControls"/>
    <ds:schemaRef ds:uri="d2004692-a83b-4e1e-b868-ef75efccb025"/>
    <ds:schemaRef ds:uri="1c6c2a5a-b89f-4baa-8462-4507b32daec6"/>
  </ds:schemaRefs>
</ds:datastoreItem>
</file>

<file path=customXml/itemProps3.xml><?xml version="1.0" encoding="utf-8"?>
<ds:datastoreItem xmlns:ds="http://schemas.openxmlformats.org/officeDocument/2006/customXml" ds:itemID="{18E1E76C-F301-4856-9A9E-E60CD5A61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04692-a83b-4e1e-b868-ef75efccb025"/>
    <ds:schemaRef ds:uri="1c6c2a5a-b89f-4baa-8462-4507b32da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4034</Words>
  <Characters>22596</Characters>
  <Application>Microsoft Office Word</Application>
  <DocSecurity>4</DocSecurity>
  <Lines>684</Lines>
  <Paragraphs>306</Paragraphs>
  <ScaleCrop>false</ScaleCrop>
  <HeadingPairs>
    <vt:vector size="2" baseType="variant">
      <vt:variant>
        <vt:lpstr>Title</vt:lpstr>
      </vt:variant>
      <vt:variant>
        <vt:i4>1</vt:i4>
      </vt:variant>
    </vt:vector>
  </HeadingPairs>
  <TitlesOfParts>
    <vt:vector size="1" baseType="lpstr">
      <vt:lpstr>2021-Public-Input-Complete-Monograph_-Revised-12-14-2021_reduced-file-sizeII.pdf</vt:lpstr>
    </vt:vector>
  </TitlesOfParts>
  <Company/>
  <LinksUpToDate>false</LinksUpToDate>
  <CharactersWithSpaces>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2021-Public-Input-Complete-Monograph_-Revised-12-14-2021_reduced-file-sizeII.pdf</dc:title>
  <dc:creator>johnb</dc:creator>
  <cp:lastModifiedBy>Kristopher Stenger</cp:lastModifiedBy>
  <cp:revision>2</cp:revision>
  <dcterms:created xsi:type="dcterms:W3CDTF">2022-05-18T17:13:00Z</dcterms:created>
  <dcterms:modified xsi:type="dcterms:W3CDTF">2022-05-18T17:13:00Z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2022-03-26T00:00:00Z</vt:filetime>
  </property>
  <property fmtid="{D5CDD505-2E9C-101B-9397-08002B2CF9AE}" pid="3" name="Creator">
    <vt:lpwstr>Adobe Acrobat Pro 11.0.23</vt:lpwstr>
  </property>
  <property fmtid="{D5CDD505-2E9C-101B-9397-08002B2CF9AE}" pid="4" name="LastSaved">
    <vt:filetime>2022-03-26T00:00:00Z</vt:filetime>
  </property>
  <property fmtid="{D5CDD505-2E9C-101B-9397-08002B2CF9AE}" pid="5" name="ContentTypeId">
    <vt:lpwstr>0x0101000DF2FC4FD661A243A2CE26D4C88BB242</vt:lpwstr>
  </property>
  <property fmtid="{D5CDD505-2E9C-101B-9397-08002B2CF9AE}" pid="6" name="MediaServiceImageTags">
    <vt:lpwstr/>
  </property>
</Properties>
</file>