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B5413" w14:textId="5555EFD6" w:rsidR="00284500" w:rsidRPr="00775AC3" w:rsidRDefault="00284500" w:rsidP="00284500">
      <w:pPr>
        <w:ind w:left="0"/>
        <w:rPr>
          <w:b/>
          <w:bCs/>
          <w:sz w:val="24"/>
          <w:szCs w:val="24"/>
        </w:rPr>
      </w:pPr>
      <w:r w:rsidRPr="00775AC3">
        <w:rPr>
          <w:b/>
          <w:bCs/>
          <w:sz w:val="24"/>
          <w:szCs w:val="24"/>
        </w:rPr>
        <w:t>Consensus modification to REPI-28 jointly submitted by:</w:t>
      </w:r>
    </w:p>
    <w:p w14:paraId="1212D988" w14:textId="42E14C4F" w:rsidR="00284500" w:rsidRPr="00775AC3" w:rsidRDefault="00284500" w:rsidP="00284500">
      <w:pPr>
        <w:pStyle w:val="ListParagraph"/>
        <w:numPr>
          <w:ilvl w:val="0"/>
          <w:numId w:val="37"/>
        </w:numPr>
        <w:rPr>
          <w:b/>
          <w:bCs/>
          <w:sz w:val="24"/>
          <w:szCs w:val="24"/>
        </w:rPr>
      </w:pPr>
      <w:r w:rsidRPr="00775AC3">
        <w:rPr>
          <w:b/>
          <w:bCs/>
          <w:sz w:val="24"/>
          <w:szCs w:val="24"/>
        </w:rPr>
        <w:t>2050 Partners</w:t>
      </w:r>
    </w:p>
    <w:p w14:paraId="1EB010F8" w14:textId="2B426466" w:rsidR="00284500" w:rsidRPr="00775AC3" w:rsidRDefault="00284500" w:rsidP="00284500">
      <w:pPr>
        <w:pStyle w:val="ListParagraph"/>
        <w:numPr>
          <w:ilvl w:val="0"/>
          <w:numId w:val="37"/>
        </w:numPr>
        <w:rPr>
          <w:b/>
          <w:bCs/>
          <w:sz w:val="24"/>
          <w:szCs w:val="24"/>
        </w:rPr>
      </w:pPr>
      <w:r w:rsidRPr="00775AC3">
        <w:rPr>
          <w:b/>
          <w:bCs/>
          <w:sz w:val="24"/>
          <w:szCs w:val="24"/>
        </w:rPr>
        <w:t>Fenestration &amp; Glazing Industry Alliance (FGIA)</w:t>
      </w:r>
    </w:p>
    <w:p w14:paraId="12140A22" w14:textId="193277BA" w:rsidR="00284500" w:rsidRPr="00775AC3" w:rsidRDefault="00284500" w:rsidP="00284500">
      <w:pPr>
        <w:pStyle w:val="ListParagraph"/>
        <w:numPr>
          <w:ilvl w:val="0"/>
          <w:numId w:val="37"/>
        </w:numPr>
        <w:rPr>
          <w:b/>
          <w:bCs/>
          <w:sz w:val="24"/>
          <w:szCs w:val="24"/>
        </w:rPr>
      </w:pPr>
      <w:r w:rsidRPr="00775AC3">
        <w:rPr>
          <w:b/>
          <w:bCs/>
          <w:sz w:val="24"/>
          <w:szCs w:val="24"/>
        </w:rPr>
        <w:t>Glazing Industry Code Committee (GICC)</w:t>
      </w:r>
      <w:r w:rsidRPr="00775AC3">
        <w:rPr>
          <w:sz w:val="24"/>
          <w:szCs w:val="24"/>
        </w:rPr>
        <w:t>, proponent of REPI-28</w:t>
      </w:r>
    </w:p>
    <w:p w14:paraId="1FAD9B78" w14:textId="653482DC" w:rsidR="00284500" w:rsidRPr="00775AC3" w:rsidRDefault="00284500" w:rsidP="00284500">
      <w:pPr>
        <w:pStyle w:val="ListParagraph"/>
        <w:numPr>
          <w:ilvl w:val="0"/>
          <w:numId w:val="37"/>
        </w:numPr>
        <w:rPr>
          <w:b/>
          <w:bCs/>
          <w:sz w:val="24"/>
          <w:szCs w:val="24"/>
        </w:rPr>
      </w:pPr>
      <w:r w:rsidRPr="00775AC3">
        <w:rPr>
          <w:b/>
          <w:bCs/>
          <w:sz w:val="24"/>
          <w:szCs w:val="24"/>
        </w:rPr>
        <w:t>New Buildings Institute (NBI)</w:t>
      </w:r>
      <w:r w:rsidRPr="00775AC3">
        <w:rPr>
          <w:sz w:val="24"/>
          <w:szCs w:val="24"/>
        </w:rPr>
        <w:t>, proponent of REPI-29</w:t>
      </w:r>
    </w:p>
    <w:p w14:paraId="669FA2E2" w14:textId="02E7346F" w:rsidR="00284500" w:rsidRPr="00775AC3" w:rsidRDefault="00284500" w:rsidP="00284500">
      <w:pPr>
        <w:pStyle w:val="ListParagraph"/>
        <w:numPr>
          <w:ilvl w:val="0"/>
          <w:numId w:val="37"/>
        </w:numPr>
        <w:rPr>
          <w:b/>
          <w:bCs/>
          <w:sz w:val="24"/>
          <w:szCs w:val="24"/>
        </w:rPr>
      </w:pPr>
      <w:r w:rsidRPr="00775AC3">
        <w:rPr>
          <w:b/>
          <w:bCs/>
          <w:sz w:val="24"/>
          <w:szCs w:val="24"/>
        </w:rPr>
        <w:t>Window &amp; Door Manufacturers Association (WDMA)</w:t>
      </w:r>
    </w:p>
    <w:p w14:paraId="00D9E821" w14:textId="77777777" w:rsidR="00284500" w:rsidRPr="00E16B30" w:rsidRDefault="00284500" w:rsidP="00284500">
      <w:pPr>
        <w:ind w:left="0"/>
        <w:rPr>
          <w:rFonts w:cstheme="minorHAnsi"/>
        </w:rPr>
      </w:pPr>
    </w:p>
    <w:p w14:paraId="4B0E65CC" w14:textId="29AD835A" w:rsidR="00055E68" w:rsidRPr="00E16B30" w:rsidRDefault="00E16B30" w:rsidP="00055E68">
      <w:pPr>
        <w:pStyle w:val="Heading2"/>
        <w:rPr>
          <w:rFonts w:asciiTheme="minorHAnsi" w:hAnsiTheme="minorHAnsi" w:cstheme="minorHAnsi"/>
          <w:color w:val="0070C0"/>
          <w:sz w:val="22"/>
          <w:szCs w:val="22"/>
        </w:rPr>
      </w:pPr>
      <w:r w:rsidRPr="00E16B30">
        <w:rPr>
          <w:rFonts w:asciiTheme="minorHAnsi" w:hAnsiTheme="minorHAnsi" w:cstheme="minorHAnsi"/>
          <w:color w:val="000000" w:themeColor="text1"/>
          <w:sz w:val="22"/>
          <w:szCs w:val="22"/>
        </w:rPr>
        <w:t>Original propos</w:t>
      </w:r>
      <w:r w:rsidR="00F10FB8">
        <w:rPr>
          <w:rFonts w:asciiTheme="minorHAnsi" w:hAnsiTheme="minorHAnsi" w:cstheme="minorHAnsi"/>
          <w:color w:val="000000" w:themeColor="text1"/>
          <w:sz w:val="22"/>
          <w:szCs w:val="22"/>
        </w:rPr>
        <w:t>ed</w:t>
      </w:r>
      <w:r w:rsidRPr="00E16B30">
        <w:rPr>
          <w:rFonts w:asciiTheme="minorHAnsi" w:hAnsiTheme="minorHAnsi" w:cstheme="minorHAnsi"/>
          <w:color w:val="000000" w:themeColor="text1"/>
          <w:sz w:val="22"/>
          <w:szCs w:val="22"/>
        </w:rPr>
        <w:t xml:space="preserve"> changes shown in black. </w:t>
      </w:r>
      <w:r w:rsidRPr="00B3718B">
        <w:rPr>
          <w:rFonts w:asciiTheme="minorHAnsi" w:hAnsiTheme="minorHAnsi" w:cstheme="minorHAnsi"/>
          <w:color w:val="C00000"/>
          <w:sz w:val="22"/>
          <w:szCs w:val="22"/>
        </w:rPr>
        <w:t xml:space="preserve">Modifications relative to REPI-28 shown in </w:t>
      </w:r>
      <w:r w:rsidR="00B3718B">
        <w:rPr>
          <w:rFonts w:asciiTheme="minorHAnsi" w:hAnsiTheme="minorHAnsi" w:cstheme="minorHAnsi"/>
          <w:color w:val="C00000"/>
          <w:sz w:val="22"/>
          <w:szCs w:val="22"/>
        </w:rPr>
        <w:t>red.</w:t>
      </w:r>
    </w:p>
    <w:p w14:paraId="7DF46B01" w14:textId="4E3E68EB" w:rsidR="00E506BC" w:rsidRDefault="004A73BF" w:rsidP="00951DA0">
      <w:pPr>
        <w:ind w:left="0"/>
      </w:pPr>
      <w:r w:rsidRPr="00E16B30">
        <w:rPr>
          <w:rFonts w:cstheme="minorHAnsi"/>
        </w:rPr>
        <w:t xml:space="preserve">Modify </w:t>
      </w:r>
      <w:r w:rsidR="0074686D">
        <w:t>as follows</w:t>
      </w:r>
      <w:r w:rsidR="002F5C0B">
        <w:t>:</w:t>
      </w:r>
    </w:p>
    <w:p w14:paraId="0039B829" w14:textId="36765214" w:rsidR="00E16B30" w:rsidRPr="00F55E85" w:rsidRDefault="00E16B30" w:rsidP="00E16B30">
      <w:pPr>
        <w:shd w:val="clear" w:color="auto" w:fill="FFFFFF"/>
        <w:spacing w:before="100" w:beforeAutospacing="1" w:after="100" w:afterAutospacing="1"/>
        <w:ind w:left="0"/>
        <w:rPr>
          <w:rFonts w:eastAsia="Times New Roman" w:cstheme="minorHAnsi"/>
          <w:b/>
          <w:bCs/>
          <w:sz w:val="24"/>
          <w:szCs w:val="24"/>
        </w:rPr>
      </w:pPr>
      <w:r w:rsidRPr="00E16B30">
        <w:rPr>
          <w:rFonts w:eastAsia="Times New Roman" w:cstheme="minorHAnsi"/>
          <w:b/>
          <w:bCs/>
          <w:sz w:val="24"/>
          <w:szCs w:val="24"/>
        </w:rPr>
        <w:t xml:space="preserve">TABLE R402.1.2 </w:t>
      </w:r>
      <w:r w:rsidR="00F55E85" w:rsidRPr="00F55E85">
        <w:rPr>
          <w:rFonts w:eastAsia="Times New Roman" w:cstheme="minorHAnsi"/>
          <w:b/>
          <w:bCs/>
          <w:sz w:val="24"/>
          <w:szCs w:val="24"/>
        </w:rPr>
        <w:t>(TABLE N1102.1.2) </w:t>
      </w:r>
      <w:r w:rsidRPr="00E16B30">
        <w:rPr>
          <w:rFonts w:eastAsia="Times New Roman" w:cstheme="minorHAnsi"/>
          <w:b/>
          <w:bCs/>
          <w:sz w:val="24"/>
          <w:szCs w:val="24"/>
        </w:rPr>
        <w:t>MAXIMUM ASSEMBLY U-FACTORS</w:t>
      </w:r>
      <w:r w:rsidRPr="00E16B30">
        <w:rPr>
          <w:rFonts w:eastAsia="Times New Roman" w:cstheme="minorHAnsi"/>
          <w:b/>
          <w:bCs/>
          <w:position w:val="6"/>
          <w:sz w:val="24"/>
          <w:szCs w:val="24"/>
        </w:rPr>
        <w:t xml:space="preserve">a </w:t>
      </w:r>
      <w:r w:rsidRPr="00E16B30">
        <w:rPr>
          <w:rFonts w:eastAsia="Times New Roman" w:cstheme="minorHAnsi"/>
          <w:b/>
          <w:bCs/>
          <w:sz w:val="24"/>
          <w:szCs w:val="24"/>
        </w:rPr>
        <w:t xml:space="preserve">AND FENESTRATION REQUIREMENTS </w:t>
      </w:r>
    </w:p>
    <w:p w14:paraId="34A5FDA4" w14:textId="4B4BE3ED" w:rsidR="00537576" w:rsidRPr="00F55E85" w:rsidRDefault="00E16B30" w:rsidP="00E16B30">
      <w:pPr>
        <w:shd w:val="clear" w:color="auto" w:fill="FFFFFF"/>
        <w:spacing w:before="100" w:beforeAutospacing="1" w:after="100" w:afterAutospacing="1"/>
        <w:ind w:left="0"/>
        <w:rPr>
          <w:rFonts w:eastAsia="Times New Roman" w:cstheme="minorHAnsi"/>
          <w:sz w:val="21"/>
          <w:szCs w:val="21"/>
        </w:rPr>
      </w:pPr>
      <w:r w:rsidRPr="00E16B30">
        <w:rPr>
          <w:rFonts w:eastAsia="Times New Roman" w:cstheme="minorHAnsi"/>
          <w:b/>
          <w:bCs/>
          <w:sz w:val="21"/>
          <w:szCs w:val="21"/>
        </w:rPr>
        <w:t xml:space="preserve">Portions of table not shown remain unchanged. </w:t>
      </w:r>
    </w:p>
    <w:tbl>
      <w:tblPr>
        <w:tblStyle w:val="TableGrid"/>
        <w:tblW w:w="6475" w:type="dxa"/>
        <w:tblInd w:w="720" w:type="dxa"/>
        <w:tblLook w:val="04A0" w:firstRow="1" w:lastRow="0" w:firstColumn="1" w:lastColumn="0" w:noHBand="0" w:noVBand="1"/>
      </w:tblPr>
      <w:tblGrid>
        <w:gridCol w:w="1854"/>
        <w:gridCol w:w="1575"/>
        <w:gridCol w:w="1066"/>
        <w:gridCol w:w="1980"/>
      </w:tblGrid>
      <w:tr w:rsidR="00537576" w14:paraId="51A5B70A" w14:textId="77777777" w:rsidTr="00D93D2B">
        <w:tc>
          <w:tcPr>
            <w:tcW w:w="1854" w:type="dxa"/>
          </w:tcPr>
          <w:p w14:paraId="5F9CC393" w14:textId="77777777" w:rsidR="00537576" w:rsidRDefault="00537576" w:rsidP="001573F6">
            <w:pPr>
              <w:ind w:left="0"/>
              <w:jc w:val="center"/>
            </w:pPr>
            <w:r>
              <w:t>Climate Zone</w:t>
            </w:r>
          </w:p>
        </w:tc>
        <w:tc>
          <w:tcPr>
            <w:tcW w:w="1575" w:type="dxa"/>
          </w:tcPr>
          <w:p w14:paraId="1C07B911" w14:textId="2CA8BCF1" w:rsidR="00537576" w:rsidRPr="007103D1" w:rsidRDefault="00537576" w:rsidP="001573F6">
            <w:pPr>
              <w:ind w:left="0"/>
              <w:jc w:val="center"/>
              <w:rPr>
                <w:vertAlign w:val="superscript"/>
              </w:rPr>
            </w:pPr>
            <w:r>
              <w:t>Fenestration U-</w:t>
            </w:r>
            <w:proofErr w:type="spellStart"/>
            <w:r>
              <w:t>Factor</w:t>
            </w:r>
            <w:r w:rsidR="008C19E8" w:rsidRPr="008C19E8">
              <w:rPr>
                <w:u w:val="single"/>
                <w:vertAlign w:val="superscript"/>
              </w:rPr>
              <w:t>d</w:t>
            </w:r>
            <w:proofErr w:type="spellEnd"/>
          </w:p>
        </w:tc>
        <w:tc>
          <w:tcPr>
            <w:tcW w:w="1066" w:type="dxa"/>
          </w:tcPr>
          <w:p w14:paraId="6F5392C5" w14:textId="60653A06" w:rsidR="00537576" w:rsidRDefault="00537576" w:rsidP="001573F6">
            <w:pPr>
              <w:ind w:left="0"/>
              <w:jc w:val="center"/>
            </w:pPr>
            <w:r>
              <w:t>Skylight U-</w:t>
            </w:r>
            <w:proofErr w:type="spellStart"/>
            <w:r>
              <w:t>Factor</w:t>
            </w:r>
            <w:r w:rsidR="008C19E8" w:rsidRPr="008C19E8">
              <w:rPr>
                <w:u w:val="single"/>
                <w:vertAlign w:val="superscript"/>
              </w:rPr>
              <w:t>d</w:t>
            </w:r>
            <w:proofErr w:type="spellEnd"/>
          </w:p>
        </w:tc>
        <w:tc>
          <w:tcPr>
            <w:tcW w:w="1980" w:type="dxa"/>
          </w:tcPr>
          <w:p w14:paraId="74328859" w14:textId="73CB8D8E" w:rsidR="00537576" w:rsidRPr="007103D1" w:rsidRDefault="00537576" w:rsidP="001573F6">
            <w:pPr>
              <w:ind w:left="0"/>
              <w:jc w:val="center"/>
              <w:rPr>
                <w:vertAlign w:val="superscript"/>
              </w:rPr>
            </w:pPr>
            <w:r>
              <w:t xml:space="preserve">Glazed Fenestration </w:t>
            </w:r>
            <w:proofErr w:type="spellStart"/>
            <w:proofErr w:type="gramStart"/>
            <w:r>
              <w:t>SHGC</w:t>
            </w:r>
            <w:r w:rsidR="007103D1">
              <w:rPr>
                <w:vertAlign w:val="superscript"/>
              </w:rPr>
              <w:t>d</w:t>
            </w:r>
            <w:r w:rsidR="007103D1" w:rsidRPr="00B3718B">
              <w:rPr>
                <w:strike/>
                <w:color w:val="C00000"/>
                <w:vertAlign w:val="superscript"/>
              </w:rPr>
              <w:t>,e</w:t>
            </w:r>
            <w:proofErr w:type="spellEnd"/>
            <w:proofErr w:type="gramEnd"/>
          </w:p>
        </w:tc>
      </w:tr>
      <w:tr w:rsidR="00537576" w14:paraId="3486AA90" w14:textId="77777777" w:rsidTr="00D93D2B">
        <w:trPr>
          <w:trHeight w:val="521"/>
        </w:trPr>
        <w:tc>
          <w:tcPr>
            <w:tcW w:w="1854" w:type="dxa"/>
          </w:tcPr>
          <w:p w14:paraId="5D6BEC73" w14:textId="77777777" w:rsidR="00537576" w:rsidRDefault="00537576" w:rsidP="001573F6">
            <w:pPr>
              <w:ind w:left="0"/>
            </w:pPr>
            <w:r>
              <w:t>0</w:t>
            </w:r>
          </w:p>
        </w:tc>
        <w:tc>
          <w:tcPr>
            <w:tcW w:w="1575" w:type="dxa"/>
          </w:tcPr>
          <w:p w14:paraId="105ACE3F" w14:textId="7A7F149E" w:rsidR="00537576" w:rsidRPr="000546CD" w:rsidRDefault="0092538A" w:rsidP="001573F6">
            <w:pPr>
              <w:ind w:left="0"/>
              <w:jc w:val="center"/>
              <w:rPr>
                <w:color w:val="FF0000"/>
              </w:rPr>
            </w:pPr>
            <w:r w:rsidRPr="00E16B30">
              <w:rPr>
                <w:strike/>
                <w:color w:val="000000" w:themeColor="text1"/>
              </w:rPr>
              <w:t>0.50</w:t>
            </w:r>
            <w:r w:rsidR="00537576" w:rsidRPr="00E16B30">
              <w:rPr>
                <w:color w:val="000000" w:themeColor="text1"/>
              </w:rPr>
              <w:t xml:space="preserve"> </w:t>
            </w:r>
            <w:r w:rsidR="00537576" w:rsidRPr="00CB5B5D">
              <w:rPr>
                <w:strike/>
                <w:color w:val="C00000"/>
                <w:u w:val="single"/>
              </w:rPr>
              <w:t>0.4</w:t>
            </w:r>
            <w:r w:rsidR="00E16B30" w:rsidRPr="00CB5B5D">
              <w:rPr>
                <w:strike/>
                <w:color w:val="C00000"/>
                <w:u w:val="single"/>
              </w:rPr>
              <w:t>0</w:t>
            </w:r>
            <w:r w:rsidR="00E16B30" w:rsidRPr="00CB5B5D">
              <w:rPr>
                <w:color w:val="C00000"/>
              </w:rPr>
              <w:t xml:space="preserve"> </w:t>
            </w:r>
            <w:r w:rsidR="00E16B30" w:rsidRPr="00B3718B">
              <w:rPr>
                <w:color w:val="C00000"/>
                <w:u w:val="single"/>
              </w:rPr>
              <w:t>0.50</w:t>
            </w:r>
          </w:p>
        </w:tc>
        <w:tc>
          <w:tcPr>
            <w:tcW w:w="1066" w:type="dxa"/>
          </w:tcPr>
          <w:p w14:paraId="06A711E5" w14:textId="69995F30" w:rsidR="00537576" w:rsidRPr="00E16B30" w:rsidRDefault="00537576" w:rsidP="001573F6">
            <w:pPr>
              <w:ind w:left="0"/>
              <w:jc w:val="center"/>
              <w:rPr>
                <w:strike/>
                <w:color w:val="000000" w:themeColor="text1"/>
              </w:rPr>
            </w:pPr>
            <w:r w:rsidRPr="00E16B30">
              <w:rPr>
                <w:strike/>
                <w:color w:val="000000" w:themeColor="text1"/>
              </w:rPr>
              <w:t>0.75</w:t>
            </w:r>
            <w:r w:rsidR="004324D2" w:rsidRPr="00E16B30">
              <w:rPr>
                <w:color w:val="000000" w:themeColor="text1"/>
              </w:rPr>
              <w:t xml:space="preserve"> </w:t>
            </w:r>
            <w:r w:rsidR="004324D2" w:rsidRPr="00E16B30">
              <w:rPr>
                <w:color w:val="000000" w:themeColor="text1"/>
                <w:u w:val="single"/>
              </w:rPr>
              <w:t>0.60</w:t>
            </w:r>
          </w:p>
        </w:tc>
        <w:tc>
          <w:tcPr>
            <w:tcW w:w="1980" w:type="dxa"/>
          </w:tcPr>
          <w:p w14:paraId="52662AD9" w14:textId="77777777" w:rsidR="00537576" w:rsidRDefault="00537576" w:rsidP="001573F6">
            <w:pPr>
              <w:ind w:left="0"/>
              <w:jc w:val="center"/>
            </w:pPr>
            <w:r>
              <w:t>0.25</w:t>
            </w:r>
          </w:p>
        </w:tc>
      </w:tr>
      <w:tr w:rsidR="00537576" w14:paraId="119F83E4" w14:textId="77777777" w:rsidTr="00D93D2B">
        <w:trPr>
          <w:trHeight w:val="530"/>
        </w:trPr>
        <w:tc>
          <w:tcPr>
            <w:tcW w:w="1854" w:type="dxa"/>
          </w:tcPr>
          <w:p w14:paraId="2D4A2716" w14:textId="77777777" w:rsidR="00537576" w:rsidRDefault="00537576" w:rsidP="001573F6">
            <w:pPr>
              <w:ind w:left="0"/>
            </w:pPr>
            <w:r>
              <w:t>1</w:t>
            </w:r>
          </w:p>
        </w:tc>
        <w:tc>
          <w:tcPr>
            <w:tcW w:w="1575" w:type="dxa"/>
          </w:tcPr>
          <w:p w14:paraId="10CA497E" w14:textId="4678E1C0" w:rsidR="00537576" w:rsidRPr="000546CD" w:rsidRDefault="00E16B30" w:rsidP="001573F6">
            <w:pPr>
              <w:ind w:left="0"/>
              <w:jc w:val="center"/>
              <w:rPr>
                <w:strike/>
                <w:color w:val="FF0000"/>
              </w:rPr>
            </w:pPr>
            <w:r w:rsidRPr="00E16B30">
              <w:rPr>
                <w:strike/>
                <w:color w:val="000000" w:themeColor="text1"/>
              </w:rPr>
              <w:t>0.50</w:t>
            </w:r>
            <w:r w:rsidRPr="00E16B30">
              <w:rPr>
                <w:color w:val="000000" w:themeColor="text1"/>
              </w:rPr>
              <w:t xml:space="preserve"> </w:t>
            </w:r>
            <w:r w:rsidRPr="00CB5B5D">
              <w:rPr>
                <w:strike/>
                <w:color w:val="C00000"/>
                <w:u w:val="single"/>
              </w:rPr>
              <w:t>0.40</w:t>
            </w:r>
            <w:r w:rsidRPr="00CB5B5D">
              <w:rPr>
                <w:color w:val="C00000"/>
              </w:rPr>
              <w:t xml:space="preserve"> </w:t>
            </w:r>
            <w:r w:rsidRPr="00B3718B">
              <w:rPr>
                <w:color w:val="C00000"/>
                <w:u w:val="single"/>
              </w:rPr>
              <w:t>0.50</w:t>
            </w:r>
          </w:p>
        </w:tc>
        <w:tc>
          <w:tcPr>
            <w:tcW w:w="1066" w:type="dxa"/>
          </w:tcPr>
          <w:p w14:paraId="3B7219BA" w14:textId="3BE598D8" w:rsidR="00537576" w:rsidRPr="00E16B30" w:rsidRDefault="00537576" w:rsidP="001573F6">
            <w:pPr>
              <w:ind w:left="0"/>
              <w:jc w:val="center"/>
              <w:rPr>
                <w:strike/>
                <w:color w:val="000000" w:themeColor="text1"/>
              </w:rPr>
            </w:pPr>
            <w:r w:rsidRPr="00E16B30">
              <w:rPr>
                <w:strike/>
                <w:color w:val="000000" w:themeColor="text1"/>
              </w:rPr>
              <w:t>0.75</w:t>
            </w:r>
            <w:r w:rsidR="004324D2" w:rsidRPr="00E16B30">
              <w:rPr>
                <w:color w:val="000000" w:themeColor="text1"/>
              </w:rPr>
              <w:t xml:space="preserve"> </w:t>
            </w:r>
            <w:r w:rsidR="004324D2" w:rsidRPr="00E16B30">
              <w:rPr>
                <w:color w:val="000000" w:themeColor="text1"/>
                <w:u w:val="single"/>
              </w:rPr>
              <w:t>0.60</w:t>
            </w:r>
          </w:p>
        </w:tc>
        <w:tc>
          <w:tcPr>
            <w:tcW w:w="1980" w:type="dxa"/>
          </w:tcPr>
          <w:p w14:paraId="2351BBD4" w14:textId="77777777" w:rsidR="00537576" w:rsidRDefault="00537576" w:rsidP="001573F6">
            <w:pPr>
              <w:ind w:left="0"/>
              <w:jc w:val="center"/>
            </w:pPr>
            <w:r>
              <w:t>0.25</w:t>
            </w:r>
          </w:p>
        </w:tc>
      </w:tr>
      <w:tr w:rsidR="00537576" w14:paraId="42F85A32" w14:textId="77777777" w:rsidTr="00D93D2B">
        <w:trPr>
          <w:trHeight w:val="530"/>
        </w:trPr>
        <w:tc>
          <w:tcPr>
            <w:tcW w:w="1854" w:type="dxa"/>
          </w:tcPr>
          <w:p w14:paraId="2F938D6F" w14:textId="77777777" w:rsidR="00537576" w:rsidRDefault="00537576" w:rsidP="001573F6">
            <w:pPr>
              <w:ind w:left="0"/>
            </w:pPr>
            <w:r>
              <w:t>2</w:t>
            </w:r>
          </w:p>
        </w:tc>
        <w:tc>
          <w:tcPr>
            <w:tcW w:w="1575" w:type="dxa"/>
          </w:tcPr>
          <w:p w14:paraId="4AA5995D" w14:textId="28A79863" w:rsidR="00537576" w:rsidRPr="008870CB" w:rsidRDefault="00537576" w:rsidP="001573F6">
            <w:pPr>
              <w:ind w:left="0"/>
              <w:jc w:val="center"/>
              <w:rPr>
                <w:color w:val="FF0000"/>
              </w:rPr>
            </w:pPr>
            <w:r w:rsidRPr="008870CB">
              <w:t>0.40</w:t>
            </w:r>
          </w:p>
        </w:tc>
        <w:tc>
          <w:tcPr>
            <w:tcW w:w="1066" w:type="dxa"/>
          </w:tcPr>
          <w:p w14:paraId="4DF96DE9" w14:textId="7225593A" w:rsidR="00537576" w:rsidRPr="00E16B30" w:rsidRDefault="00537576" w:rsidP="001573F6">
            <w:pPr>
              <w:ind w:left="0"/>
              <w:jc w:val="center"/>
              <w:rPr>
                <w:strike/>
                <w:color w:val="000000" w:themeColor="text1"/>
              </w:rPr>
            </w:pPr>
            <w:r w:rsidRPr="00E16B30">
              <w:rPr>
                <w:strike/>
                <w:color w:val="000000" w:themeColor="text1"/>
              </w:rPr>
              <w:t>0.65</w:t>
            </w:r>
            <w:r w:rsidR="004324D2" w:rsidRPr="00E16B30">
              <w:rPr>
                <w:color w:val="000000" w:themeColor="text1"/>
              </w:rPr>
              <w:t xml:space="preserve"> </w:t>
            </w:r>
            <w:r w:rsidR="004324D2" w:rsidRPr="00E16B30">
              <w:rPr>
                <w:color w:val="000000" w:themeColor="text1"/>
                <w:u w:val="single"/>
              </w:rPr>
              <w:t>0.60</w:t>
            </w:r>
          </w:p>
        </w:tc>
        <w:tc>
          <w:tcPr>
            <w:tcW w:w="1980" w:type="dxa"/>
          </w:tcPr>
          <w:p w14:paraId="74FA5769" w14:textId="77777777" w:rsidR="00537576" w:rsidRDefault="00537576" w:rsidP="001573F6">
            <w:pPr>
              <w:ind w:left="0"/>
              <w:jc w:val="center"/>
            </w:pPr>
            <w:r>
              <w:t>0.25</w:t>
            </w:r>
          </w:p>
        </w:tc>
      </w:tr>
      <w:tr w:rsidR="00537576" w14:paraId="7AB6F436" w14:textId="77777777" w:rsidTr="00D93D2B">
        <w:trPr>
          <w:trHeight w:val="503"/>
        </w:trPr>
        <w:tc>
          <w:tcPr>
            <w:tcW w:w="1854" w:type="dxa"/>
          </w:tcPr>
          <w:p w14:paraId="4CA8FE2A" w14:textId="77777777" w:rsidR="00537576" w:rsidRDefault="00537576" w:rsidP="001573F6">
            <w:pPr>
              <w:ind w:left="0"/>
            </w:pPr>
            <w:r>
              <w:t>3</w:t>
            </w:r>
          </w:p>
        </w:tc>
        <w:tc>
          <w:tcPr>
            <w:tcW w:w="1575" w:type="dxa"/>
          </w:tcPr>
          <w:p w14:paraId="0A2B6E79" w14:textId="1F7D69A3" w:rsidR="00537576" w:rsidRPr="00943CF1" w:rsidRDefault="00853BF8" w:rsidP="001573F6">
            <w:pPr>
              <w:ind w:left="0"/>
              <w:jc w:val="center"/>
            </w:pPr>
            <w:r w:rsidRPr="00943CF1">
              <w:t>0.30</w:t>
            </w:r>
          </w:p>
        </w:tc>
        <w:tc>
          <w:tcPr>
            <w:tcW w:w="1066" w:type="dxa"/>
          </w:tcPr>
          <w:p w14:paraId="3F39C9EF" w14:textId="1DDD0035" w:rsidR="00537576" w:rsidRPr="00E16B30" w:rsidRDefault="00537576" w:rsidP="001573F6">
            <w:pPr>
              <w:ind w:left="0"/>
              <w:jc w:val="center"/>
              <w:rPr>
                <w:strike/>
                <w:color w:val="000000" w:themeColor="text1"/>
              </w:rPr>
            </w:pPr>
            <w:r w:rsidRPr="00E16B30">
              <w:rPr>
                <w:strike/>
                <w:color w:val="000000" w:themeColor="text1"/>
              </w:rPr>
              <w:t>0.55</w:t>
            </w:r>
            <w:r w:rsidR="004324D2" w:rsidRPr="00E16B30">
              <w:rPr>
                <w:color w:val="000000" w:themeColor="text1"/>
              </w:rPr>
              <w:t xml:space="preserve"> </w:t>
            </w:r>
            <w:r w:rsidR="004324D2" w:rsidRPr="00E16B30">
              <w:rPr>
                <w:color w:val="000000" w:themeColor="text1"/>
                <w:u w:val="single"/>
              </w:rPr>
              <w:t>0.53</w:t>
            </w:r>
          </w:p>
        </w:tc>
        <w:tc>
          <w:tcPr>
            <w:tcW w:w="1980" w:type="dxa"/>
          </w:tcPr>
          <w:p w14:paraId="2704B596" w14:textId="77777777" w:rsidR="00537576" w:rsidRDefault="00537576" w:rsidP="001573F6">
            <w:pPr>
              <w:ind w:left="0"/>
              <w:jc w:val="center"/>
            </w:pPr>
            <w:r>
              <w:t>0.25</w:t>
            </w:r>
          </w:p>
        </w:tc>
      </w:tr>
      <w:tr w:rsidR="00537576" w14:paraId="00BB9C0E" w14:textId="77777777" w:rsidTr="00D93D2B">
        <w:tc>
          <w:tcPr>
            <w:tcW w:w="1854" w:type="dxa"/>
          </w:tcPr>
          <w:p w14:paraId="57C3A8B6" w14:textId="28F7C0FE" w:rsidR="00537576" w:rsidRDefault="00537576" w:rsidP="001573F6">
            <w:pPr>
              <w:ind w:left="0"/>
            </w:pPr>
            <w:r>
              <w:t>4 except Marine</w:t>
            </w:r>
          </w:p>
        </w:tc>
        <w:tc>
          <w:tcPr>
            <w:tcW w:w="1575" w:type="dxa"/>
          </w:tcPr>
          <w:p w14:paraId="082C39F1" w14:textId="3F450E86" w:rsidR="00537576" w:rsidRPr="00943CF1" w:rsidRDefault="008E0CF1" w:rsidP="001573F6">
            <w:pPr>
              <w:ind w:left="0"/>
              <w:jc w:val="center"/>
            </w:pPr>
            <w:r w:rsidRPr="00943CF1">
              <w:t>0.30</w:t>
            </w:r>
          </w:p>
        </w:tc>
        <w:tc>
          <w:tcPr>
            <w:tcW w:w="1066" w:type="dxa"/>
          </w:tcPr>
          <w:p w14:paraId="23B794A4" w14:textId="425DA7BA" w:rsidR="00537576" w:rsidRPr="00E16B30" w:rsidRDefault="00537576" w:rsidP="001573F6">
            <w:pPr>
              <w:ind w:left="0"/>
              <w:jc w:val="center"/>
              <w:rPr>
                <w:strike/>
                <w:color w:val="000000" w:themeColor="text1"/>
              </w:rPr>
            </w:pPr>
            <w:r w:rsidRPr="00E16B30">
              <w:rPr>
                <w:strike/>
                <w:color w:val="000000" w:themeColor="text1"/>
              </w:rPr>
              <w:t>0.55</w:t>
            </w:r>
            <w:r w:rsidR="004324D2" w:rsidRPr="00E16B30">
              <w:rPr>
                <w:color w:val="000000" w:themeColor="text1"/>
              </w:rPr>
              <w:t xml:space="preserve"> </w:t>
            </w:r>
            <w:r w:rsidR="004324D2" w:rsidRPr="00E16B30">
              <w:rPr>
                <w:color w:val="000000" w:themeColor="text1"/>
                <w:u w:val="single"/>
              </w:rPr>
              <w:t>0.53</w:t>
            </w:r>
          </w:p>
        </w:tc>
        <w:tc>
          <w:tcPr>
            <w:tcW w:w="1980" w:type="dxa"/>
          </w:tcPr>
          <w:p w14:paraId="54CE12FF" w14:textId="77777777" w:rsidR="00537576" w:rsidRDefault="00537576" w:rsidP="001573F6">
            <w:pPr>
              <w:ind w:left="0"/>
              <w:jc w:val="center"/>
            </w:pPr>
            <w:r>
              <w:t>0.4</w:t>
            </w:r>
          </w:p>
        </w:tc>
      </w:tr>
      <w:tr w:rsidR="00537576" w14:paraId="21E05642" w14:textId="77777777" w:rsidTr="00D93D2B">
        <w:tc>
          <w:tcPr>
            <w:tcW w:w="1854" w:type="dxa"/>
          </w:tcPr>
          <w:p w14:paraId="385E6947" w14:textId="77777777" w:rsidR="00537576" w:rsidRDefault="00537576" w:rsidP="001573F6">
            <w:pPr>
              <w:ind w:left="0"/>
            </w:pPr>
            <w:r>
              <w:t>5 and Marine 4</w:t>
            </w:r>
          </w:p>
        </w:tc>
        <w:tc>
          <w:tcPr>
            <w:tcW w:w="1575" w:type="dxa"/>
          </w:tcPr>
          <w:p w14:paraId="18F9985F" w14:textId="731A51E3" w:rsidR="00537576" w:rsidRPr="00F10FB8" w:rsidRDefault="00537576" w:rsidP="001573F6">
            <w:pPr>
              <w:ind w:left="0"/>
              <w:jc w:val="center"/>
              <w:rPr>
                <w:strike/>
                <w:color w:val="000000" w:themeColor="text1"/>
              </w:rPr>
            </w:pPr>
            <w:r w:rsidRPr="00F10FB8">
              <w:rPr>
                <w:strike/>
                <w:color w:val="000000" w:themeColor="text1"/>
              </w:rPr>
              <w:t>0.30</w:t>
            </w:r>
            <w:r w:rsidRPr="00CB5B5D">
              <w:rPr>
                <w:color w:val="000000" w:themeColor="text1"/>
              </w:rPr>
              <w:t xml:space="preserve"> </w:t>
            </w:r>
            <w:r w:rsidRPr="00CB5B5D">
              <w:rPr>
                <w:strike/>
                <w:color w:val="C00000"/>
                <w:u w:val="single"/>
              </w:rPr>
              <w:t>0.2</w:t>
            </w:r>
            <w:r w:rsidR="004324D2" w:rsidRPr="00CB5B5D">
              <w:rPr>
                <w:strike/>
                <w:color w:val="C00000"/>
                <w:u w:val="single"/>
              </w:rPr>
              <w:t>7</w:t>
            </w:r>
            <w:r w:rsidR="00CB5B5D">
              <w:rPr>
                <w:color w:val="000000" w:themeColor="text1"/>
                <w:u w:val="single"/>
              </w:rPr>
              <w:t xml:space="preserve"> </w:t>
            </w:r>
            <w:proofErr w:type="gramStart"/>
            <w:r w:rsidR="00CB5B5D" w:rsidRPr="00CB5B5D">
              <w:rPr>
                <w:color w:val="C00000"/>
                <w:u w:val="single"/>
              </w:rPr>
              <w:t>0.28</w:t>
            </w:r>
            <w:r w:rsidR="00F10FB8" w:rsidRPr="00F10FB8">
              <w:rPr>
                <w:color w:val="000000" w:themeColor="text1"/>
                <w:u w:val="single"/>
                <w:vertAlign w:val="superscript"/>
              </w:rPr>
              <w:t>f</w:t>
            </w:r>
            <w:r w:rsidR="00F10FB8" w:rsidRPr="00B3718B">
              <w:rPr>
                <w:strike/>
                <w:color w:val="C00000"/>
                <w:u w:val="single"/>
                <w:vertAlign w:val="superscript"/>
              </w:rPr>
              <w:t>,g</w:t>
            </w:r>
            <w:proofErr w:type="gramEnd"/>
          </w:p>
        </w:tc>
        <w:tc>
          <w:tcPr>
            <w:tcW w:w="1066" w:type="dxa"/>
          </w:tcPr>
          <w:p w14:paraId="3A572FB5" w14:textId="1DF8666F" w:rsidR="00537576" w:rsidRPr="00E16B30" w:rsidRDefault="00537576" w:rsidP="001573F6">
            <w:pPr>
              <w:ind w:left="0"/>
              <w:jc w:val="center"/>
              <w:rPr>
                <w:strike/>
                <w:color w:val="000000" w:themeColor="text1"/>
              </w:rPr>
            </w:pPr>
            <w:r w:rsidRPr="00E16B30">
              <w:rPr>
                <w:strike/>
                <w:color w:val="000000" w:themeColor="text1"/>
              </w:rPr>
              <w:t>0.55</w:t>
            </w:r>
            <w:r w:rsidR="004324D2" w:rsidRPr="00E16B30">
              <w:rPr>
                <w:color w:val="000000" w:themeColor="text1"/>
              </w:rPr>
              <w:t xml:space="preserve"> </w:t>
            </w:r>
            <w:r w:rsidR="004324D2" w:rsidRPr="00E16B30">
              <w:rPr>
                <w:color w:val="000000" w:themeColor="text1"/>
                <w:u w:val="single"/>
              </w:rPr>
              <w:t>0.50</w:t>
            </w:r>
          </w:p>
        </w:tc>
        <w:tc>
          <w:tcPr>
            <w:tcW w:w="1980" w:type="dxa"/>
          </w:tcPr>
          <w:p w14:paraId="3DCDF943" w14:textId="4D115B69" w:rsidR="00537576" w:rsidRPr="00311D09" w:rsidRDefault="00537576" w:rsidP="001573F6">
            <w:pPr>
              <w:ind w:left="0"/>
              <w:jc w:val="center"/>
              <w:rPr>
                <w:strike/>
              </w:rPr>
            </w:pPr>
            <w:r w:rsidRPr="00F10FB8">
              <w:rPr>
                <w:strike/>
                <w:color w:val="000000" w:themeColor="text1"/>
              </w:rPr>
              <w:t>0.4</w:t>
            </w:r>
            <w:r w:rsidR="00F9520C" w:rsidRPr="00F10FB8">
              <w:rPr>
                <w:color w:val="000000" w:themeColor="text1"/>
                <w:u w:val="single"/>
              </w:rPr>
              <w:t>NR</w:t>
            </w:r>
          </w:p>
        </w:tc>
      </w:tr>
      <w:tr w:rsidR="00537576" w14:paraId="3F3C1B3D" w14:textId="77777777" w:rsidTr="00D93D2B">
        <w:trPr>
          <w:trHeight w:val="512"/>
        </w:trPr>
        <w:tc>
          <w:tcPr>
            <w:tcW w:w="1854" w:type="dxa"/>
          </w:tcPr>
          <w:p w14:paraId="3659F06D" w14:textId="77777777" w:rsidR="00537576" w:rsidRDefault="00537576" w:rsidP="001573F6">
            <w:pPr>
              <w:ind w:left="0"/>
            </w:pPr>
            <w:r>
              <w:t>6</w:t>
            </w:r>
          </w:p>
        </w:tc>
        <w:tc>
          <w:tcPr>
            <w:tcW w:w="1575" w:type="dxa"/>
          </w:tcPr>
          <w:p w14:paraId="33696642" w14:textId="664DA713" w:rsidR="00537576" w:rsidRPr="00F10FB8" w:rsidRDefault="00537576" w:rsidP="001573F6">
            <w:pPr>
              <w:ind w:left="0"/>
              <w:jc w:val="center"/>
              <w:rPr>
                <w:strike/>
                <w:color w:val="000000" w:themeColor="text1"/>
              </w:rPr>
            </w:pPr>
            <w:r w:rsidRPr="00F10FB8">
              <w:rPr>
                <w:strike/>
                <w:color w:val="000000" w:themeColor="text1"/>
              </w:rPr>
              <w:t>0.30</w:t>
            </w:r>
            <w:r w:rsidRPr="00CB5B5D">
              <w:rPr>
                <w:color w:val="000000" w:themeColor="text1"/>
              </w:rPr>
              <w:t xml:space="preserve"> </w:t>
            </w:r>
            <w:r w:rsidR="00F10FB8" w:rsidRPr="00CB5B5D">
              <w:rPr>
                <w:strike/>
                <w:color w:val="C00000"/>
                <w:u w:val="single"/>
              </w:rPr>
              <w:t>0.27</w:t>
            </w:r>
            <w:r w:rsidR="00CB5B5D">
              <w:rPr>
                <w:color w:val="000000" w:themeColor="text1"/>
                <w:u w:val="single"/>
              </w:rPr>
              <w:t xml:space="preserve"> </w:t>
            </w:r>
            <w:proofErr w:type="gramStart"/>
            <w:r w:rsidR="00CB5B5D" w:rsidRPr="00CB5B5D">
              <w:rPr>
                <w:color w:val="C00000"/>
                <w:u w:val="single"/>
              </w:rPr>
              <w:t>0.28</w:t>
            </w:r>
            <w:r w:rsidR="00F10FB8" w:rsidRPr="00F10FB8">
              <w:rPr>
                <w:color w:val="000000" w:themeColor="text1"/>
                <w:u w:val="single"/>
                <w:vertAlign w:val="superscript"/>
              </w:rPr>
              <w:t>f</w:t>
            </w:r>
            <w:r w:rsidR="00F10FB8" w:rsidRPr="00B3718B">
              <w:rPr>
                <w:strike/>
                <w:color w:val="C00000"/>
                <w:u w:val="single"/>
                <w:vertAlign w:val="superscript"/>
              </w:rPr>
              <w:t>,g</w:t>
            </w:r>
            <w:proofErr w:type="gramEnd"/>
          </w:p>
        </w:tc>
        <w:tc>
          <w:tcPr>
            <w:tcW w:w="1066" w:type="dxa"/>
          </w:tcPr>
          <w:p w14:paraId="6D84B197" w14:textId="5D7E7E53" w:rsidR="00537576" w:rsidRPr="00E16B30" w:rsidRDefault="00537576" w:rsidP="001573F6">
            <w:pPr>
              <w:ind w:left="0"/>
              <w:jc w:val="center"/>
              <w:rPr>
                <w:strike/>
                <w:color w:val="000000" w:themeColor="text1"/>
              </w:rPr>
            </w:pPr>
            <w:r w:rsidRPr="00E16B30">
              <w:rPr>
                <w:strike/>
                <w:color w:val="000000" w:themeColor="text1"/>
              </w:rPr>
              <w:t>0.55</w:t>
            </w:r>
            <w:r w:rsidR="004324D2" w:rsidRPr="00E16B30">
              <w:rPr>
                <w:color w:val="000000" w:themeColor="text1"/>
              </w:rPr>
              <w:t xml:space="preserve"> </w:t>
            </w:r>
            <w:r w:rsidR="004324D2" w:rsidRPr="00E16B30">
              <w:rPr>
                <w:color w:val="000000" w:themeColor="text1"/>
                <w:u w:val="single"/>
              </w:rPr>
              <w:t>0.50</w:t>
            </w:r>
          </w:p>
        </w:tc>
        <w:tc>
          <w:tcPr>
            <w:tcW w:w="1980" w:type="dxa"/>
          </w:tcPr>
          <w:p w14:paraId="169DCFDD" w14:textId="77777777" w:rsidR="00537576" w:rsidRDefault="00537576" w:rsidP="001573F6">
            <w:pPr>
              <w:ind w:left="0"/>
              <w:jc w:val="center"/>
            </w:pPr>
            <w:r>
              <w:t>NR</w:t>
            </w:r>
          </w:p>
        </w:tc>
      </w:tr>
      <w:tr w:rsidR="00537576" w14:paraId="0112635C" w14:textId="77777777" w:rsidTr="00D93D2B">
        <w:trPr>
          <w:trHeight w:val="557"/>
        </w:trPr>
        <w:tc>
          <w:tcPr>
            <w:tcW w:w="1854" w:type="dxa"/>
          </w:tcPr>
          <w:p w14:paraId="7FEDD7B6" w14:textId="77777777" w:rsidR="00537576" w:rsidRDefault="00537576" w:rsidP="001573F6">
            <w:pPr>
              <w:ind w:left="0"/>
            </w:pPr>
            <w:r>
              <w:t>7 and 8</w:t>
            </w:r>
          </w:p>
        </w:tc>
        <w:tc>
          <w:tcPr>
            <w:tcW w:w="1575" w:type="dxa"/>
          </w:tcPr>
          <w:p w14:paraId="6279582D" w14:textId="52786A6C" w:rsidR="00537576" w:rsidRPr="00F10FB8" w:rsidRDefault="00537576" w:rsidP="001573F6">
            <w:pPr>
              <w:ind w:left="0"/>
              <w:jc w:val="center"/>
              <w:rPr>
                <w:strike/>
                <w:color w:val="000000" w:themeColor="text1"/>
              </w:rPr>
            </w:pPr>
            <w:r w:rsidRPr="00F10FB8">
              <w:rPr>
                <w:strike/>
                <w:color w:val="000000" w:themeColor="text1"/>
              </w:rPr>
              <w:t xml:space="preserve">0.30 </w:t>
            </w:r>
            <w:r w:rsidR="00F10FB8" w:rsidRPr="00F10FB8">
              <w:rPr>
                <w:color w:val="000000" w:themeColor="text1"/>
                <w:u w:val="single"/>
              </w:rPr>
              <w:t>0.27</w:t>
            </w:r>
            <w:r w:rsidR="00F10FB8" w:rsidRPr="00F10FB8">
              <w:rPr>
                <w:color w:val="000000" w:themeColor="text1"/>
                <w:u w:val="single"/>
                <w:vertAlign w:val="superscript"/>
              </w:rPr>
              <w:t>f</w:t>
            </w:r>
            <w:r w:rsidR="00F10FB8" w:rsidRPr="00B3718B">
              <w:rPr>
                <w:strike/>
                <w:color w:val="C00000"/>
                <w:u w:val="single"/>
                <w:vertAlign w:val="superscript"/>
              </w:rPr>
              <w:t>,g</w:t>
            </w:r>
          </w:p>
        </w:tc>
        <w:tc>
          <w:tcPr>
            <w:tcW w:w="1066" w:type="dxa"/>
          </w:tcPr>
          <w:p w14:paraId="6438A850" w14:textId="58C1135D" w:rsidR="00537576" w:rsidRPr="00E16B30" w:rsidRDefault="00537576" w:rsidP="001573F6">
            <w:pPr>
              <w:ind w:left="0"/>
              <w:jc w:val="center"/>
              <w:rPr>
                <w:strike/>
                <w:color w:val="000000" w:themeColor="text1"/>
              </w:rPr>
            </w:pPr>
            <w:r w:rsidRPr="00E16B30">
              <w:rPr>
                <w:strike/>
                <w:color w:val="000000" w:themeColor="text1"/>
              </w:rPr>
              <w:t>0.55</w:t>
            </w:r>
            <w:r w:rsidR="004324D2" w:rsidRPr="00E16B30">
              <w:rPr>
                <w:color w:val="000000" w:themeColor="text1"/>
              </w:rPr>
              <w:t xml:space="preserve"> </w:t>
            </w:r>
            <w:r w:rsidR="004324D2" w:rsidRPr="00E16B30">
              <w:rPr>
                <w:color w:val="000000" w:themeColor="text1"/>
                <w:u w:val="single"/>
              </w:rPr>
              <w:t>0.50</w:t>
            </w:r>
          </w:p>
        </w:tc>
        <w:tc>
          <w:tcPr>
            <w:tcW w:w="1980" w:type="dxa"/>
          </w:tcPr>
          <w:p w14:paraId="6C9DE977" w14:textId="77777777" w:rsidR="00537576" w:rsidRDefault="00537576" w:rsidP="001573F6">
            <w:pPr>
              <w:ind w:left="0"/>
              <w:jc w:val="center"/>
            </w:pPr>
            <w:r>
              <w:t>NR</w:t>
            </w:r>
          </w:p>
        </w:tc>
      </w:tr>
    </w:tbl>
    <w:p w14:paraId="25A4B026" w14:textId="1A51FF9D" w:rsidR="008C19E8" w:rsidRPr="008C19E8" w:rsidRDefault="008C19E8" w:rsidP="008C19E8">
      <w:r w:rsidRPr="008C19E8">
        <w:t>For SI: 1 foot = 304.8 mm.</w:t>
      </w:r>
    </w:p>
    <w:p w14:paraId="13817151" w14:textId="4CE897FE" w:rsidR="008C19E8" w:rsidRPr="008C19E8" w:rsidRDefault="008C19E8" w:rsidP="008C19E8">
      <w:pPr>
        <w:pStyle w:val="ListParagraph"/>
        <w:numPr>
          <w:ilvl w:val="0"/>
          <w:numId w:val="38"/>
        </w:numPr>
      </w:pPr>
      <w:proofErr w:type="spellStart"/>
      <w:r w:rsidRPr="008C19E8">
        <w:t>Nonfenestration</w:t>
      </w:r>
      <w:proofErr w:type="spellEnd"/>
      <w:r w:rsidRPr="008C19E8">
        <w:t xml:space="preserve"> U-factors shall be obtained from measurement, calculation or an </w:t>
      </w:r>
    </w:p>
    <w:p w14:paraId="67E4FF79" w14:textId="77777777" w:rsidR="008C19E8" w:rsidRPr="008C19E8" w:rsidRDefault="008C19E8" w:rsidP="008C19E8">
      <w:pPr>
        <w:pStyle w:val="ListParagraph"/>
        <w:ind w:left="1440"/>
      </w:pPr>
      <w:r w:rsidRPr="008C19E8">
        <w:t xml:space="preserve">approved source. </w:t>
      </w:r>
    </w:p>
    <w:p w14:paraId="5729B6FF" w14:textId="77777777" w:rsidR="008C19E8" w:rsidRPr="008C19E8" w:rsidRDefault="008C19E8" w:rsidP="008C19E8">
      <w:pPr>
        <w:pStyle w:val="ListParagraph"/>
        <w:numPr>
          <w:ilvl w:val="0"/>
          <w:numId w:val="38"/>
        </w:numPr>
      </w:pPr>
      <w:r w:rsidRPr="008C19E8">
        <w:t xml:space="preserve">Mass walls shall be in accordance with Section R402.2.5. Where more than half the insulation is on the interior, the mass wall U-factors shall not exceed 0.17 in Climate Zones 0 and 1, 0.14 in Climate Zone 2, 0.12 in Climate Zone 3, 0.087 in Climate Zone 4 except Marine, 0.065 in Climate Zone 5 and Marine 4, and 0.057 in Climate Zones 6 through 8. </w:t>
      </w:r>
    </w:p>
    <w:p w14:paraId="5F8734A8" w14:textId="77777777" w:rsidR="008C19E8" w:rsidRDefault="008C19E8" w:rsidP="008C19E8">
      <w:pPr>
        <w:pStyle w:val="ListParagraph"/>
        <w:numPr>
          <w:ilvl w:val="0"/>
          <w:numId w:val="38"/>
        </w:numPr>
      </w:pPr>
      <w:r w:rsidRPr="008C19E8">
        <w:t xml:space="preserve">In warm-humid locations as defined by Figure R301.1 and Table R301.1, the basement wall U-factor shall not exceed 0.360. </w:t>
      </w:r>
    </w:p>
    <w:p w14:paraId="765E4002" w14:textId="60FC028C" w:rsidR="008C19E8" w:rsidRPr="008C19E8" w:rsidRDefault="008C19E8" w:rsidP="008C19E8">
      <w:pPr>
        <w:pStyle w:val="ListParagraph"/>
        <w:numPr>
          <w:ilvl w:val="0"/>
          <w:numId w:val="38"/>
        </w:numPr>
      </w:pPr>
      <w:r w:rsidRPr="008C19E8">
        <w:rPr>
          <w:u w:val="single"/>
        </w:rPr>
        <w:t>The fenestration U-factor column excludes skylights.</w:t>
      </w:r>
      <w:r w:rsidRPr="008C19E8">
        <w:t xml:space="preserve"> The SHGC column applies to all glazed </w:t>
      </w:r>
      <w:proofErr w:type="gramStart"/>
      <w:r w:rsidRPr="008C19E8">
        <w:t>fenestration</w:t>
      </w:r>
      <w:proofErr w:type="gramEnd"/>
      <w:r w:rsidRPr="008C19E8">
        <w:t xml:space="preserve">. </w:t>
      </w:r>
    </w:p>
    <w:p w14:paraId="18CA71BC" w14:textId="77777777" w:rsidR="008C19E8" w:rsidRPr="008C19E8" w:rsidRDefault="008C19E8" w:rsidP="008C19E8">
      <w:pPr>
        <w:pStyle w:val="ListParagraph"/>
        <w:ind w:left="1440"/>
      </w:pPr>
      <w:r w:rsidRPr="008C19E8">
        <w:rPr>
          <w:b/>
          <w:bCs/>
        </w:rPr>
        <w:lastRenderedPageBreak/>
        <w:t xml:space="preserve">Exception: </w:t>
      </w:r>
      <w:r w:rsidRPr="008C19E8">
        <w:t xml:space="preserve">In Climate Zones 0 through 3, skylights shall be permitted to be excluded from glazed fenestration SHGC requirements provided that the SHGC for such skylights does not exceed </w:t>
      </w:r>
      <w:r w:rsidRPr="008C19E8">
        <w:rPr>
          <w:strike/>
        </w:rPr>
        <w:t>0.30</w:t>
      </w:r>
      <w:r w:rsidRPr="008C19E8">
        <w:t xml:space="preserve"> </w:t>
      </w:r>
      <w:r w:rsidRPr="008C19E8">
        <w:rPr>
          <w:u w:val="single"/>
        </w:rPr>
        <w:t>0.28</w:t>
      </w:r>
      <w:r w:rsidRPr="008C19E8">
        <w:t xml:space="preserve">. </w:t>
      </w:r>
    </w:p>
    <w:p w14:paraId="2979E714" w14:textId="77777777" w:rsidR="008C19E8" w:rsidRPr="00F55E85" w:rsidRDefault="008C19E8" w:rsidP="008C19E8">
      <w:pPr>
        <w:pStyle w:val="ListParagraph"/>
        <w:numPr>
          <w:ilvl w:val="0"/>
          <w:numId w:val="38"/>
        </w:numPr>
        <w:rPr>
          <w:strike/>
          <w:color w:val="C00000"/>
        </w:rPr>
      </w:pPr>
      <w:r w:rsidRPr="00F55E85">
        <w:rPr>
          <w:strike/>
          <w:color w:val="C00000"/>
        </w:rPr>
        <w:t xml:space="preserve">There are no SHGC requirements in the Marine Zone. </w:t>
      </w:r>
    </w:p>
    <w:p w14:paraId="44A2C36E" w14:textId="3F762425" w:rsidR="008C19E8" w:rsidRPr="008C19E8" w:rsidRDefault="008C19E8" w:rsidP="008C19E8">
      <w:pPr>
        <w:pStyle w:val="ListParagraph"/>
        <w:numPr>
          <w:ilvl w:val="0"/>
          <w:numId w:val="38"/>
        </w:numPr>
      </w:pPr>
      <w:r w:rsidRPr="008C19E8">
        <w:t xml:space="preserve">A maximum U-factor of </w:t>
      </w:r>
      <w:r w:rsidRPr="00F55E85">
        <w:rPr>
          <w:strike/>
          <w:color w:val="C00000"/>
        </w:rPr>
        <w:t>0.32</w:t>
      </w:r>
      <w:r w:rsidRPr="00F55E85">
        <w:rPr>
          <w:color w:val="C00000"/>
        </w:rPr>
        <w:t xml:space="preserve"> </w:t>
      </w:r>
      <w:r w:rsidR="00EF68D9" w:rsidRPr="00F55E85">
        <w:rPr>
          <w:color w:val="C00000"/>
          <w:u w:val="single"/>
        </w:rPr>
        <w:t>0.30</w:t>
      </w:r>
      <w:r w:rsidR="00EF68D9">
        <w:t xml:space="preserve"> </w:t>
      </w:r>
      <w:r w:rsidRPr="008C19E8">
        <w:t xml:space="preserve">shall apply in Marine Climate Zone 4 and Climate Zones 5 through 8 to vertical fenestration products installed in buildings located either: </w:t>
      </w:r>
    </w:p>
    <w:p w14:paraId="6272CF69" w14:textId="77777777" w:rsidR="00887BDF" w:rsidRDefault="008C19E8" w:rsidP="008C19E8">
      <w:pPr>
        <w:pStyle w:val="ListParagraph"/>
        <w:numPr>
          <w:ilvl w:val="1"/>
          <w:numId w:val="38"/>
        </w:numPr>
      </w:pPr>
      <w:r w:rsidRPr="008C19E8">
        <w:t>Above 4,000 feet in elevation above sea level, or</w:t>
      </w:r>
    </w:p>
    <w:p w14:paraId="333032A5" w14:textId="65CC1C9E" w:rsidR="008C19E8" w:rsidRPr="008C19E8" w:rsidRDefault="008C19E8" w:rsidP="008C19E8">
      <w:pPr>
        <w:pStyle w:val="ListParagraph"/>
        <w:numPr>
          <w:ilvl w:val="1"/>
          <w:numId w:val="38"/>
        </w:numPr>
      </w:pPr>
      <w:r w:rsidRPr="008C19E8">
        <w:t xml:space="preserve">In windborne debris regions where protection of openings is required by Section R301.2.1.2 of the </w:t>
      </w:r>
      <w:r w:rsidRPr="00EF68D9">
        <w:rPr>
          <w:i/>
          <w:iCs/>
        </w:rPr>
        <w:t>International Residential Code</w:t>
      </w:r>
      <w:r w:rsidRPr="008C19E8">
        <w:t xml:space="preserve">. </w:t>
      </w:r>
    </w:p>
    <w:p w14:paraId="5B13BC0E" w14:textId="77777777" w:rsidR="008C19E8" w:rsidRPr="00F55E85" w:rsidRDefault="008C19E8" w:rsidP="008C19E8">
      <w:pPr>
        <w:pStyle w:val="ListParagraph"/>
        <w:numPr>
          <w:ilvl w:val="0"/>
          <w:numId w:val="38"/>
        </w:numPr>
        <w:rPr>
          <w:strike/>
          <w:color w:val="C00000"/>
        </w:rPr>
      </w:pPr>
      <w:r w:rsidRPr="00F55E85">
        <w:rPr>
          <w:strike/>
          <w:color w:val="C00000"/>
        </w:rPr>
        <w:t xml:space="preserve">In Marine Climate Zone 4 and Climate Zones 5 through 8, the maximum U-factor for vertical fenestration shall be 0.28 when the SHGC is from 0.32 to 0.36, 0.29 when the SHGC is from 0.37 to 0.42, and 0.30 when the SHGC is greater than or equal to 0.42. </w:t>
      </w:r>
    </w:p>
    <w:p w14:paraId="0FFEC7AE" w14:textId="77777777" w:rsidR="00F10FB8" w:rsidRDefault="00F10FB8" w:rsidP="00F55E85">
      <w:pPr>
        <w:ind w:left="0"/>
        <w:rPr>
          <w:i/>
          <w:iCs/>
        </w:rPr>
      </w:pPr>
    </w:p>
    <w:p w14:paraId="4C453DF4" w14:textId="17668F36" w:rsidR="001F2507" w:rsidRDefault="001F2507" w:rsidP="00F65524">
      <w:pPr>
        <w:rPr>
          <w:strike/>
          <w:color w:val="FF0000"/>
        </w:rPr>
      </w:pPr>
    </w:p>
    <w:p w14:paraId="53906B22" w14:textId="77777777" w:rsidR="00F55E85" w:rsidRPr="00F55E85" w:rsidRDefault="00F55E85" w:rsidP="00F55E85">
      <w:pPr>
        <w:ind w:left="0"/>
        <w:rPr>
          <w:rFonts w:eastAsia="Times New Roman" w:cstheme="minorHAnsi"/>
          <w:sz w:val="24"/>
          <w:szCs w:val="24"/>
        </w:rPr>
      </w:pPr>
      <w:r w:rsidRPr="00F55E85">
        <w:rPr>
          <w:rFonts w:eastAsia="Times New Roman" w:cstheme="minorHAnsi"/>
          <w:b/>
          <w:bCs/>
          <w:sz w:val="24"/>
          <w:szCs w:val="24"/>
        </w:rPr>
        <w:t>TABLE R402.1.3 (TABLE N1102.1.3)</w:t>
      </w:r>
      <w:r w:rsidRPr="00F55E85">
        <w:rPr>
          <w:rFonts w:eastAsia="Times New Roman" w:cstheme="minorHAnsi"/>
          <w:sz w:val="24"/>
          <w:szCs w:val="24"/>
        </w:rPr>
        <w:t> </w:t>
      </w:r>
      <w:r w:rsidRPr="00F55E85">
        <w:rPr>
          <w:rFonts w:eastAsia="Times New Roman" w:cstheme="minorHAnsi"/>
          <w:b/>
          <w:bCs/>
          <w:sz w:val="24"/>
          <w:szCs w:val="24"/>
        </w:rPr>
        <w:t xml:space="preserve">INSULATION MINIMUM R-VALUES AND FENESTRATION REQUIREMENTS BY </w:t>
      </w:r>
      <w:proofErr w:type="spellStart"/>
      <w:r w:rsidRPr="00F55E85">
        <w:rPr>
          <w:rFonts w:eastAsia="Times New Roman" w:cstheme="minorHAnsi"/>
          <w:b/>
          <w:bCs/>
          <w:sz w:val="24"/>
          <w:szCs w:val="24"/>
        </w:rPr>
        <w:t>COMPONENT</w:t>
      </w:r>
      <w:r w:rsidRPr="00F55E85">
        <w:rPr>
          <w:rFonts w:eastAsia="Times New Roman" w:cstheme="minorHAnsi"/>
          <w:b/>
          <w:bCs/>
          <w:sz w:val="24"/>
          <w:szCs w:val="24"/>
          <w:vertAlign w:val="superscript"/>
        </w:rPr>
        <w:t>a</w:t>
      </w:r>
      <w:proofErr w:type="spellEnd"/>
    </w:p>
    <w:p w14:paraId="666ADB01" w14:textId="77777777" w:rsidR="00F55E85" w:rsidRPr="00F55E85" w:rsidRDefault="00F55E85" w:rsidP="00F55E85">
      <w:pPr>
        <w:spacing w:before="100" w:beforeAutospacing="1" w:after="100" w:afterAutospacing="1"/>
        <w:ind w:left="0"/>
        <w:rPr>
          <w:rFonts w:eastAsia="Times New Roman" w:cstheme="minorHAnsi"/>
          <w:color w:val="212529"/>
          <w:sz w:val="21"/>
          <w:szCs w:val="21"/>
        </w:rPr>
      </w:pPr>
      <w:r w:rsidRPr="00F55E85">
        <w:rPr>
          <w:rFonts w:eastAsia="Times New Roman" w:cstheme="minorHAnsi"/>
          <w:b/>
          <w:bCs/>
          <w:color w:val="212529"/>
          <w:sz w:val="21"/>
          <w:szCs w:val="21"/>
        </w:rPr>
        <w:t>Portions of table not shown remain unchanged.</w:t>
      </w:r>
    </w:p>
    <w:p w14:paraId="4569C993" w14:textId="0666E3FF" w:rsidR="002A053B" w:rsidRDefault="002A053B" w:rsidP="0063739D">
      <w:pPr>
        <w:ind w:left="0"/>
      </w:pPr>
    </w:p>
    <w:tbl>
      <w:tblPr>
        <w:tblStyle w:val="TableGrid"/>
        <w:tblW w:w="6475" w:type="dxa"/>
        <w:tblInd w:w="720" w:type="dxa"/>
        <w:tblLook w:val="04A0" w:firstRow="1" w:lastRow="0" w:firstColumn="1" w:lastColumn="0" w:noHBand="0" w:noVBand="1"/>
      </w:tblPr>
      <w:tblGrid>
        <w:gridCol w:w="1854"/>
        <w:gridCol w:w="1575"/>
        <w:gridCol w:w="1066"/>
        <w:gridCol w:w="1980"/>
      </w:tblGrid>
      <w:tr w:rsidR="002A053B" w14:paraId="00B95FAC" w14:textId="77777777" w:rsidTr="00BB4D8D">
        <w:tc>
          <w:tcPr>
            <w:tcW w:w="1854" w:type="dxa"/>
          </w:tcPr>
          <w:p w14:paraId="669CB0D5" w14:textId="77777777" w:rsidR="002A053B" w:rsidRDefault="002A053B" w:rsidP="00BB4D8D">
            <w:pPr>
              <w:ind w:left="0"/>
              <w:jc w:val="center"/>
            </w:pPr>
            <w:r>
              <w:t>Climate Zone</w:t>
            </w:r>
          </w:p>
        </w:tc>
        <w:tc>
          <w:tcPr>
            <w:tcW w:w="1575" w:type="dxa"/>
          </w:tcPr>
          <w:p w14:paraId="2438C4BB" w14:textId="16C38542" w:rsidR="002A053B" w:rsidRPr="007103D1" w:rsidRDefault="002A053B" w:rsidP="00BB4D8D">
            <w:pPr>
              <w:ind w:left="0"/>
              <w:jc w:val="center"/>
              <w:rPr>
                <w:vertAlign w:val="superscript"/>
              </w:rPr>
            </w:pPr>
            <w:r>
              <w:t>Fenestration U-</w:t>
            </w:r>
            <w:proofErr w:type="spellStart"/>
            <w:r>
              <w:t>Factor</w:t>
            </w:r>
            <w:r w:rsidR="00A95AE9" w:rsidRPr="00A95AE9">
              <w:rPr>
                <w:vertAlign w:val="superscript"/>
              </w:rPr>
              <w:t>b</w:t>
            </w:r>
            <w:proofErr w:type="spellEnd"/>
          </w:p>
        </w:tc>
        <w:tc>
          <w:tcPr>
            <w:tcW w:w="1066" w:type="dxa"/>
          </w:tcPr>
          <w:p w14:paraId="30DFFC3F" w14:textId="312A077B" w:rsidR="002A053B" w:rsidRDefault="002A053B" w:rsidP="00BB4D8D">
            <w:pPr>
              <w:ind w:left="0"/>
              <w:jc w:val="center"/>
            </w:pPr>
            <w:r>
              <w:t>Skylight U-</w:t>
            </w:r>
            <w:proofErr w:type="spellStart"/>
            <w:r>
              <w:t>Factor</w:t>
            </w:r>
            <w:r w:rsidR="00434ED8" w:rsidRPr="00434ED8">
              <w:rPr>
                <w:vertAlign w:val="superscript"/>
              </w:rPr>
              <w:t>b</w:t>
            </w:r>
            <w:proofErr w:type="spellEnd"/>
          </w:p>
        </w:tc>
        <w:tc>
          <w:tcPr>
            <w:tcW w:w="1980" w:type="dxa"/>
          </w:tcPr>
          <w:p w14:paraId="1BDCCD36" w14:textId="0B6B5F0C" w:rsidR="002A053B" w:rsidRPr="007103D1" w:rsidRDefault="002A053B" w:rsidP="00BB4D8D">
            <w:pPr>
              <w:ind w:left="0"/>
              <w:jc w:val="center"/>
              <w:rPr>
                <w:vertAlign w:val="superscript"/>
              </w:rPr>
            </w:pPr>
            <w:r>
              <w:t xml:space="preserve">Glazed Fenestration </w:t>
            </w:r>
            <w:proofErr w:type="spellStart"/>
            <w:proofErr w:type="gramStart"/>
            <w:r>
              <w:t>SHGC</w:t>
            </w:r>
            <w:r w:rsidR="00434ED8" w:rsidRPr="00434ED8">
              <w:rPr>
                <w:vertAlign w:val="superscript"/>
              </w:rPr>
              <w:t>b</w:t>
            </w:r>
            <w:r w:rsidR="00434ED8" w:rsidRPr="00887BDF">
              <w:rPr>
                <w:strike/>
                <w:color w:val="C00000"/>
                <w:vertAlign w:val="superscript"/>
              </w:rPr>
              <w:t>,e</w:t>
            </w:r>
            <w:proofErr w:type="spellEnd"/>
            <w:proofErr w:type="gramEnd"/>
          </w:p>
        </w:tc>
      </w:tr>
      <w:tr w:rsidR="002A053B" w14:paraId="7249F5EF" w14:textId="77777777" w:rsidTr="00BB4D8D">
        <w:trPr>
          <w:trHeight w:val="521"/>
        </w:trPr>
        <w:tc>
          <w:tcPr>
            <w:tcW w:w="1854" w:type="dxa"/>
          </w:tcPr>
          <w:p w14:paraId="6297EECC" w14:textId="77777777" w:rsidR="002A053B" w:rsidRDefault="002A053B" w:rsidP="00BB4D8D">
            <w:pPr>
              <w:ind w:left="0"/>
            </w:pPr>
            <w:r>
              <w:t>0</w:t>
            </w:r>
          </w:p>
        </w:tc>
        <w:tc>
          <w:tcPr>
            <w:tcW w:w="1575" w:type="dxa"/>
          </w:tcPr>
          <w:p w14:paraId="79B0F37B" w14:textId="5D87688D" w:rsidR="002A053B" w:rsidRPr="00915B3F" w:rsidRDefault="002A053B" w:rsidP="00BB4D8D">
            <w:pPr>
              <w:ind w:left="0"/>
              <w:jc w:val="center"/>
              <w:rPr>
                <w:color w:val="000000" w:themeColor="text1"/>
              </w:rPr>
            </w:pPr>
            <w:r w:rsidRPr="00915B3F">
              <w:rPr>
                <w:strike/>
                <w:color w:val="000000" w:themeColor="text1"/>
              </w:rPr>
              <w:t>NR</w:t>
            </w:r>
            <w:r w:rsidRPr="00915B3F">
              <w:rPr>
                <w:color w:val="000000" w:themeColor="text1"/>
              </w:rPr>
              <w:t xml:space="preserve"> </w:t>
            </w:r>
            <w:r w:rsidRPr="00915B3F">
              <w:rPr>
                <w:strike/>
                <w:color w:val="000000" w:themeColor="text1"/>
                <w:u w:val="single"/>
              </w:rPr>
              <w:t>0.</w:t>
            </w:r>
            <w:r w:rsidR="000738CB" w:rsidRPr="00915B3F">
              <w:rPr>
                <w:strike/>
                <w:color w:val="000000" w:themeColor="text1"/>
                <w:u w:val="single"/>
              </w:rPr>
              <w:t>4</w:t>
            </w:r>
            <w:r w:rsidR="00915B3F" w:rsidRPr="00915B3F">
              <w:rPr>
                <w:strike/>
                <w:color w:val="000000" w:themeColor="text1"/>
                <w:u w:val="single"/>
              </w:rPr>
              <w:t>0</w:t>
            </w:r>
            <w:r w:rsidR="00915B3F">
              <w:rPr>
                <w:color w:val="000000" w:themeColor="text1"/>
              </w:rPr>
              <w:t xml:space="preserve"> </w:t>
            </w:r>
            <w:r w:rsidR="00915B3F" w:rsidRPr="00915B3F">
              <w:rPr>
                <w:color w:val="C00000"/>
                <w:u w:val="single"/>
              </w:rPr>
              <w:t>0.50</w:t>
            </w:r>
          </w:p>
        </w:tc>
        <w:tc>
          <w:tcPr>
            <w:tcW w:w="1066" w:type="dxa"/>
          </w:tcPr>
          <w:p w14:paraId="1479A627" w14:textId="77777777" w:rsidR="002A053B" w:rsidRPr="00915B3F" w:rsidRDefault="002A053B" w:rsidP="00BB4D8D">
            <w:pPr>
              <w:ind w:left="0"/>
              <w:jc w:val="center"/>
              <w:rPr>
                <w:strike/>
                <w:color w:val="000000" w:themeColor="text1"/>
              </w:rPr>
            </w:pPr>
            <w:r w:rsidRPr="00915B3F">
              <w:rPr>
                <w:strike/>
                <w:color w:val="000000" w:themeColor="text1"/>
              </w:rPr>
              <w:t>0.75</w:t>
            </w:r>
            <w:r w:rsidRPr="00915B3F">
              <w:rPr>
                <w:color w:val="000000" w:themeColor="text1"/>
              </w:rPr>
              <w:t xml:space="preserve"> </w:t>
            </w:r>
            <w:r w:rsidRPr="00915B3F">
              <w:rPr>
                <w:color w:val="000000" w:themeColor="text1"/>
                <w:u w:val="single"/>
              </w:rPr>
              <w:t>0.60</w:t>
            </w:r>
          </w:p>
        </w:tc>
        <w:tc>
          <w:tcPr>
            <w:tcW w:w="1980" w:type="dxa"/>
          </w:tcPr>
          <w:p w14:paraId="19E7F25F" w14:textId="77777777" w:rsidR="002A053B" w:rsidRDefault="002A053B" w:rsidP="00BB4D8D">
            <w:pPr>
              <w:ind w:left="0"/>
              <w:jc w:val="center"/>
            </w:pPr>
            <w:r>
              <w:t>0.25</w:t>
            </w:r>
          </w:p>
        </w:tc>
      </w:tr>
      <w:tr w:rsidR="002A053B" w14:paraId="4F125C88" w14:textId="77777777" w:rsidTr="00BB4D8D">
        <w:trPr>
          <w:trHeight w:val="530"/>
        </w:trPr>
        <w:tc>
          <w:tcPr>
            <w:tcW w:w="1854" w:type="dxa"/>
          </w:tcPr>
          <w:p w14:paraId="1A6CC059" w14:textId="77777777" w:rsidR="002A053B" w:rsidRDefault="002A053B" w:rsidP="00BB4D8D">
            <w:pPr>
              <w:ind w:left="0"/>
            </w:pPr>
            <w:r>
              <w:t>1</w:t>
            </w:r>
          </w:p>
        </w:tc>
        <w:tc>
          <w:tcPr>
            <w:tcW w:w="1575" w:type="dxa"/>
          </w:tcPr>
          <w:p w14:paraId="591BC6CF" w14:textId="0154A7E5" w:rsidR="002A053B" w:rsidRPr="00915B3F" w:rsidRDefault="002A053B" w:rsidP="00BB4D8D">
            <w:pPr>
              <w:ind w:left="0"/>
              <w:jc w:val="center"/>
              <w:rPr>
                <w:strike/>
                <w:color w:val="000000" w:themeColor="text1"/>
              </w:rPr>
            </w:pPr>
            <w:r w:rsidRPr="00915B3F">
              <w:rPr>
                <w:strike/>
                <w:color w:val="000000" w:themeColor="text1"/>
              </w:rPr>
              <w:t>NR</w:t>
            </w:r>
            <w:r w:rsidRPr="00915B3F">
              <w:rPr>
                <w:color w:val="000000" w:themeColor="text1"/>
              </w:rPr>
              <w:t xml:space="preserve"> </w:t>
            </w:r>
            <w:r w:rsidRPr="00915B3F">
              <w:rPr>
                <w:strike/>
                <w:color w:val="000000" w:themeColor="text1"/>
                <w:u w:val="single"/>
              </w:rPr>
              <w:t>0.</w:t>
            </w:r>
            <w:r w:rsidR="000738CB" w:rsidRPr="00915B3F">
              <w:rPr>
                <w:strike/>
                <w:color w:val="000000" w:themeColor="text1"/>
                <w:u w:val="single"/>
              </w:rPr>
              <w:t>4</w:t>
            </w:r>
            <w:r w:rsidR="00915B3F" w:rsidRPr="00915B3F">
              <w:rPr>
                <w:strike/>
                <w:color w:val="000000" w:themeColor="text1"/>
                <w:u w:val="single"/>
              </w:rPr>
              <w:t>0</w:t>
            </w:r>
            <w:r w:rsidR="00915B3F">
              <w:rPr>
                <w:color w:val="000000" w:themeColor="text1"/>
              </w:rPr>
              <w:t xml:space="preserve"> </w:t>
            </w:r>
            <w:r w:rsidR="00915B3F" w:rsidRPr="00915B3F">
              <w:rPr>
                <w:color w:val="C00000"/>
                <w:u w:val="single"/>
              </w:rPr>
              <w:t>0.50</w:t>
            </w:r>
          </w:p>
        </w:tc>
        <w:tc>
          <w:tcPr>
            <w:tcW w:w="1066" w:type="dxa"/>
          </w:tcPr>
          <w:p w14:paraId="19A6E10C" w14:textId="77777777" w:rsidR="002A053B" w:rsidRPr="00915B3F" w:rsidRDefault="002A053B" w:rsidP="00BB4D8D">
            <w:pPr>
              <w:ind w:left="0"/>
              <w:jc w:val="center"/>
              <w:rPr>
                <w:strike/>
                <w:color w:val="000000" w:themeColor="text1"/>
              </w:rPr>
            </w:pPr>
            <w:r w:rsidRPr="00915B3F">
              <w:rPr>
                <w:strike/>
                <w:color w:val="000000" w:themeColor="text1"/>
              </w:rPr>
              <w:t>0.75</w:t>
            </w:r>
            <w:r w:rsidRPr="00915B3F">
              <w:rPr>
                <w:color w:val="000000" w:themeColor="text1"/>
              </w:rPr>
              <w:t xml:space="preserve"> </w:t>
            </w:r>
            <w:r w:rsidRPr="00915B3F">
              <w:rPr>
                <w:color w:val="000000" w:themeColor="text1"/>
                <w:u w:val="single"/>
              </w:rPr>
              <w:t>0.60</w:t>
            </w:r>
          </w:p>
        </w:tc>
        <w:tc>
          <w:tcPr>
            <w:tcW w:w="1980" w:type="dxa"/>
          </w:tcPr>
          <w:p w14:paraId="321447C7" w14:textId="77777777" w:rsidR="002A053B" w:rsidRDefault="002A053B" w:rsidP="00BB4D8D">
            <w:pPr>
              <w:ind w:left="0"/>
              <w:jc w:val="center"/>
            </w:pPr>
            <w:r>
              <w:t>0.25</w:t>
            </w:r>
          </w:p>
        </w:tc>
      </w:tr>
      <w:tr w:rsidR="002A053B" w14:paraId="563E6FB2" w14:textId="77777777" w:rsidTr="00BB4D8D">
        <w:trPr>
          <w:trHeight w:val="530"/>
        </w:trPr>
        <w:tc>
          <w:tcPr>
            <w:tcW w:w="1854" w:type="dxa"/>
          </w:tcPr>
          <w:p w14:paraId="0E74B2F0" w14:textId="77777777" w:rsidR="002A053B" w:rsidRDefault="002A053B" w:rsidP="00BB4D8D">
            <w:pPr>
              <w:ind w:left="0"/>
            </w:pPr>
            <w:r>
              <w:t>2</w:t>
            </w:r>
          </w:p>
        </w:tc>
        <w:tc>
          <w:tcPr>
            <w:tcW w:w="1575" w:type="dxa"/>
          </w:tcPr>
          <w:p w14:paraId="2E015963" w14:textId="77777777" w:rsidR="002A053B" w:rsidRPr="008870CB" w:rsidRDefault="002A053B" w:rsidP="00BB4D8D">
            <w:pPr>
              <w:ind w:left="0"/>
              <w:jc w:val="center"/>
              <w:rPr>
                <w:color w:val="FF0000"/>
              </w:rPr>
            </w:pPr>
            <w:r w:rsidRPr="008870CB">
              <w:t>0.40</w:t>
            </w:r>
          </w:p>
        </w:tc>
        <w:tc>
          <w:tcPr>
            <w:tcW w:w="1066" w:type="dxa"/>
          </w:tcPr>
          <w:p w14:paraId="04CEE749" w14:textId="77777777" w:rsidR="002A053B" w:rsidRPr="00915B3F" w:rsidRDefault="002A053B" w:rsidP="00BB4D8D">
            <w:pPr>
              <w:ind w:left="0"/>
              <w:jc w:val="center"/>
              <w:rPr>
                <w:strike/>
                <w:color w:val="000000" w:themeColor="text1"/>
              </w:rPr>
            </w:pPr>
            <w:r w:rsidRPr="00915B3F">
              <w:rPr>
                <w:strike/>
                <w:color w:val="000000" w:themeColor="text1"/>
              </w:rPr>
              <w:t>0.65</w:t>
            </w:r>
            <w:r w:rsidRPr="00915B3F">
              <w:rPr>
                <w:color w:val="000000" w:themeColor="text1"/>
              </w:rPr>
              <w:t xml:space="preserve"> </w:t>
            </w:r>
            <w:r w:rsidRPr="00915B3F">
              <w:rPr>
                <w:color w:val="000000" w:themeColor="text1"/>
                <w:u w:val="single"/>
              </w:rPr>
              <w:t>0.60</w:t>
            </w:r>
          </w:p>
        </w:tc>
        <w:tc>
          <w:tcPr>
            <w:tcW w:w="1980" w:type="dxa"/>
          </w:tcPr>
          <w:p w14:paraId="108B9777" w14:textId="77777777" w:rsidR="002A053B" w:rsidRDefault="002A053B" w:rsidP="00BB4D8D">
            <w:pPr>
              <w:ind w:left="0"/>
              <w:jc w:val="center"/>
            </w:pPr>
            <w:r>
              <w:t>0.25</w:t>
            </w:r>
          </w:p>
        </w:tc>
      </w:tr>
      <w:tr w:rsidR="002A053B" w14:paraId="004700AE" w14:textId="77777777" w:rsidTr="00BB4D8D">
        <w:trPr>
          <w:trHeight w:val="503"/>
        </w:trPr>
        <w:tc>
          <w:tcPr>
            <w:tcW w:w="1854" w:type="dxa"/>
          </w:tcPr>
          <w:p w14:paraId="344FD3BC" w14:textId="77777777" w:rsidR="002A053B" w:rsidRDefault="002A053B" w:rsidP="00BB4D8D">
            <w:pPr>
              <w:ind w:left="0"/>
            </w:pPr>
            <w:r>
              <w:t>3</w:t>
            </w:r>
          </w:p>
        </w:tc>
        <w:tc>
          <w:tcPr>
            <w:tcW w:w="1575" w:type="dxa"/>
          </w:tcPr>
          <w:p w14:paraId="757AA57E" w14:textId="77777777" w:rsidR="002A053B" w:rsidRPr="00943CF1" w:rsidRDefault="002A053B" w:rsidP="00BB4D8D">
            <w:pPr>
              <w:ind w:left="0"/>
              <w:jc w:val="center"/>
            </w:pPr>
            <w:r w:rsidRPr="00943CF1">
              <w:t>0.30</w:t>
            </w:r>
          </w:p>
        </w:tc>
        <w:tc>
          <w:tcPr>
            <w:tcW w:w="1066" w:type="dxa"/>
          </w:tcPr>
          <w:p w14:paraId="7D2BB693" w14:textId="77777777" w:rsidR="002A053B" w:rsidRPr="00915B3F" w:rsidRDefault="002A053B" w:rsidP="00BB4D8D">
            <w:pPr>
              <w:ind w:left="0"/>
              <w:jc w:val="center"/>
              <w:rPr>
                <w:strike/>
                <w:color w:val="000000" w:themeColor="text1"/>
              </w:rPr>
            </w:pPr>
            <w:r w:rsidRPr="00915B3F">
              <w:rPr>
                <w:strike/>
                <w:color w:val="000000" w:themeColor="text1"/>
              </w:rPr>
              <w:t>0.55</w:t>
            </w:r>
            <w:r w:rsidRPr="00915B3F">
              <w:rPr>
                <w:color w:val="000000" w:themeColor="text1"/>
              </w:rPr>
              <w:t xml:space="preserve"> </w:t>
            </w:r>
            <w:r w:rsidRPr="00915B3F">
              <w:rPr>
                <w:color w:val="000000" w:themeColor="text1"/>
                <w:u w:val="single"/>
              </w:rPr>
              <w:t>0.53</w:t>
            </w:r>
          </w:p>
        </w:tc>
        <w:tc>
          <w:tcPr>
            <w:tcW w:w="1980" w:type="dxa"/>
          </w:tcPr>
          <w:p w14:paraId="11082383" w14:textId="77777777" w:rsidR="002A053B" w:rsidRDefault="002A053B" w:rsidP="00BB4D8D">
            <w:pPr>
              <w:ind w:left="0"/>
              <w:jc w:val="center"/>
            </w:pPr>
            <w:r>
              <w:t>0.25</w:t>
            </w:r>
          </w:p>
        </w:tc>
      </w:tr>
      <w:tr w:rsidR="002A053B" w14:paraId="08A44DFA" w14:textId="77777777" w:rsidTr="00BB4D8D">
        <w:tc>
          <w:tcPr>
            <w:tcW w:w="1854" w:type="dxa"/>
          </w:tcPr>
          <w:p w14:paraId="3EF1CD81" w14:textId="77777777" w:rsidR="002A053B" w:rsidRDefault="002A053B" w:rsidP="00BB4D8D">
            <w:pPr>
              <w:ind w:left="0"/>
            </w:pPr>
            <w:r>
              <w:t>4 except Marine</w:t>
            </w:r>
          </w:p>
        </w:tc>
        <w:tc>
          <w:tcPr>
            <w:tcW w:w="1575" w:type="dxa"/>
          </w:tcPr>
          <w:p w14:paraId="5D65B3D7" w14:textId="77777777" w:rsidR="002A053B" w:rsidRPr="00943CF1" w:rsidRDefault="002A053B" w:rsidP="00BB4D8D">
            <w:pPr>
              <w:ind w:left="0"/>
              <w:jc w:val="center"/>
            </w:pPr>
            <w:r w:rsidRPr="00943CF1">
              <w:t>0.30</w:t>
            </w:r>
          </w:p>
        </w:tc>
        <w:tc>
          <w:tcPr>
            <w:tcW w:w="1066" w:type="dxa"/>
          </w:tcPr>
          <w:p w14:paraId="21B12F80" w14:textId="77777777" w:rsidR="002A053B" w:rsidRPr="00915B3F" w:rsidRDefault="002A053B" w:rsidP="00BB4D8D">
            <w:pPr>
              <w:ind w:left="0"/>
              <w:jc w:val="center"/>
              <w:rPr>
                <w:strike/>
                <w:color w:val="000000" w:themeColor="text1"/>
              </w:rPr>
            </w:pPr>
            <w:r w:rsidRPr="00915B3F">
              <w:rPr>
                <w:strike/>
                <w:color w:val="000000" w:themeColor="text1"/>
              </w:rPr>
              <w:t>0.55</w:t>
            </w:r>
            <w:r w:rsidRPr="00915B3F">
              <w:rPr>
                <w:color w:val="000000" w:themeColor="text1"/>
              </w:rPr>
              <w:t xml:space="preserve"> </w:t>
            </w:r>
            <w:r w:rsidRPr="00915B3F">
              <w:rPr>
                <w:color w:val="000000" w:themeColor="text1"/>
                <w:u w:val="single"/>
              </w:rPr>
              <w:t>0.53</w:t>
            </w:r>
          </w:p>
        </w:tc>
        <w:tc>
          <w:tcPr>
            <w:tcW w:w="1980" w:type="dxa"/>
          </w:tcPr>
          <w:p w14:paraId="257806A9" w14:textId="77777777" w:rsidR="002A053B" w:rsidRDefault="002A053B" w:rsidP="00BB4D8D">
            <w:pPr>
              <w:ind w:left="0"/>
              <w:jc w:val="center"/>
            </w:pPr>
            <w:r>
              <w:t>0.4</w:t>
            </w:r>
          </w:p>
        </w:tc>
      </w:tr>
      <w:tr w:rsidR="002A053B" w14:paraId="409B18FC" w14:textId="77777777" w:rsidTr="00BB4D8D">
        <w:tc>
          <w:tcPr>
            <w:tcW w:w="1854" w:type="dxa"/>
          </w:tcPr>
          <w:p w14:paraId="2250155D" w14:textId="77777777" w:rsidR="002A053B" w:rsidRDefault="002A053B" w:rsidP="00BB4D8D">
            <w:pPr>
              <w:ind w:left="0"/>
            </w:pPr>
            <w:r>
              <w:t>5 and Marine 4</w:t>
            </w:r>
          </w:p>
        </w:tc>
        <w:tc>
          <w:tcPr>
            <w:tcW w:w="1575" w:type="dxa"/>
          </w:tcPr>
          <w:p w14:paraId="75504455" w14:textId="3D462854" w:rsidR="002A053B" w:rsidRPr="00915B3F" w:rsidRDefault="002A053B" w:rsidP="00BB4D8D">
            <w:pPr>
              <w:ind w:left="0"/>
              <w:jc w:val="center"/>
              <w:rPr>
                <w:strike/>
                <w:color w:val="000000" w:themeColor="text1"/>
              </w:rPr>
            </w:pPr>
            <w:r w:rsidRPr="00915B3F">
              <w:rPr>
                <w:strike/>
                <w:color w:val="000000" w:themeColor="text1"/>
              </w:rPr>
              <w:t xml:space="preserve">0.30 </w:t>
            </w:r>
            <w:r w:rsidRPr="00CB5B5D">
              <w:rPr>
                <w:strike/>
                <w:color w:val="C00000"/>
                <w:u w:val="single"/>
              </w:rPr>
              <w:t>0.27</w:t>
            </w:r>
            <w:r w:rsidR="00CB5B5D" w:rsidRPr="00CB5B5D">
              <w:rPr>
                <w:color w:val="C00000"/>
                <w:u w:val="single"/>
              </w:rPr>
              <w:t xml:space="preserve"> </w:t>
            </w:r>
            <w:proofErr w:type="gramStart"/>
            <w:r w:rsidR="00CB5B5D" w:rsidRPr="00CB5B5D">
              <w:rPr>
                <w:color w:val="C00000"/>
                <w:u w:val="single"/>
              </w:rPr>
              <w:t>0.28</w:t>
            </w:r>
            <w:r w:rsidR="00915B3F" w:rsidRPr="00915B3F">
              <w:rPr>
                <w:color w:val="000000" w:themeColor="text1"/>
                <w:vertAlign w:val="superscript"/>
              </w:rPr>
              <w:t>i</w:t>
            </w:r>
            <w:r w:rsidR="00915B3F" w:rsidRPr="00887BDF">
              <w:rPr>
                <w:strike/>
                <w:color w:val="C00000"/>
                <w:vertAlign w:val="superscript"/>
              </w:rPr>
              <w:t>,j</w:t>
            </w:r>
            <w:proofErr w:type="gramEnd"/>
          </w:p>
        </w:tc>
        <w:tc>
          <w:tcPr>
            <w:tcW w:w="1066" w:type="dxa"/>
          </w:tcPr>
          <w:p w14:paraId="235A6FE2" w14:textId="77777777" w:rsidR="002A053B" w:rsidRPr="00915B3F" w:rsidRDefault="002A053B" w:rsidP="00BB4D8D">
            <w:pPr>
              <w:ind w:left="0"/>
              <w:jc w:val="center"/>
              <w:rPr>
                <w:strike/>
                <w:color w:val="000000" w:themeColor="text1"/>
              </w:rPr>
            </w:pPr>
            <w:r w:rsidRPr="00915B3F">
              <w:rPr>
                <w:strike/>
                <w:color w:val="000000" w:themeColor="text1"/>
              </w:rPr>
              <w:t>0.55</w:t>
            </w:r>
            <w:r w:rsidRPr="00915B3F">
              <w:rPr>
                <w:color w:val="000000" w:themeColor="text1"/>
              </w:rPr>
              <w:t xml:space="preserve"> </w:t>
            </w:r>
            <w:r w:rsidRPr="00915B3F">
              <w:rPr>
                <w:color w:val="000000" w:themeColor="text1"/>
                <w:u w:val="single"/>
              </w:rPr>
              <w:t>0.50</w:t>
            </w:r>
          </w:p>
        </w:tc>
        <w:tc>
          <w:tcPr>
            <w:tcW w:w="1980" w:type="dxa"/>
          </w:tcPr>
          <w:p w14:paraId="5F830671" w14:textId="77777777" w:rsidR="002A053B" w:rsidRPr="00915B3F" w:rsidRDefault="002A053B" w:rsidP="00BB4D8D">
            <w:pPr>
              <w:ind w:left="0"/>
              <w:jc w:val="center"/>
              <w:rPr>
                <w:strike/>
                <w:color w:val="000000" w:themeColor="text1"/>
              </w:rPr>
            </w:pPr>
            <w:r w:rsidRPr="00915B3F">
              <w:rPr>
                <w:strike/>
                <w:color w:val="000000" w:themeColor="text1"/>
              </w:rPr>
              <w:t>0.4</w:t>
            </w:r>
            <w:r w:rsidRPr="00CB5B5D">
              <w:rPr>
                <w:color w:val="000000" w:themeColor="text1"/>
                <w:u w:val="single"/>
              </w:rPr>
              <w:t>NR</w:t>
            </w:r>
          </w:p>
        </w:tc>
      </w:tr>
      <w:tr w:rsidR="002A053B" w14:paraId="5ADAE083" w14:textId="77777777" w:rsidTr="00BB4D8D">
        <w:trPr>
          <w:trHeight w:val="512"/>
        </w:trPr>
        <w:tc>
          <w:tcPr>
            <w:tcW w:w="1854" w:type="dxa"/>
          </w:tcPr>
          <w:p w14:paraId="191A3FA9" w14:textId="77777777" w:rsidR="002A053B" w:rsidRDefault="002A053B" w:rsidP="00BB4D8D">
            <w:pPr>
              <w:ind w:left="0"/>
            </w:pPr>
            <w:r>
              <w:t>6</w:t>
            </w:r>
          </w:p>
        </w:tc>
        <w:tc>
          <w:tcPr>
            <w:tcW w:w="1575" w:type="dxa"/>
          </w:tcPr>
          <w:p w14:paraId="1F08EE25" w14:textId="247F6D0E" w:rsidR="002A053B" w:rsidRPr="00915B3F" w:rsidRDefault="002A053B" w:rsidP="00BB4D8D">
            <w:pPr>
              <w:ind w:left="0"/>
              <w:jc w:val="center"/>
              <w:rPr>
                <w:strike/>
                <w:color w:val="000000" w:themeColor="text1"/>
              </w:rPr>
            </w:pPr>
            <w:r w:rsidRPr="00915B3F">
              <w:rPr>
                <w:strike/>
                <w:color w:val="000000" w:themeColor="text1"/>
              </w:rPr>
              <w:t xml:space="preserve">0.30 </w:t>
            </w:r>
            <w:r w:rsidRPr="00CB5B5D">
              <w:rPr>
                <w:strike/>
                <w:color w:val="C00000"/>
                <w:u w:val="single"/>
              </w:rPr>
              <w:t>0.27</w:t>
            </w:r>
            <w:r w:rsidR="00CB5B5D" w:rsidRPr="00CB5B5D">
              <w:rPr>
                <w:color w:val="C00000"/>
              </w:rPr>
              <w:t xml:space="preserve"> </w:t>
            </w:r>
            <w:r w:rsidR="00CB5B5D">
              <w:rPr>
                <w:color w:val="C00000"/>
              </w:rPr>
              <w:br/>
            </w:r>
            <w:r w:rsidR="00CB5B5D" w:rsidRPr="00CB5B5D">
              <w:rPr>
                <w:color w:val="C00000"/>
                <w:u w:val="single"/>
              </w:rPr>
              <w:t>0.28</w:t>
            </w:r>
            <w:r w:rsidR="00887BDF" w:rsidRPr="00915B3F">
              <w:rPr>
                <w:color w:val="000000" w:themeColor="text1"/>
                <w:vertAlign w:val="superscript"/>
              </w:rPr>
              <w:t xml:space="preserve"> </w:t>
            </w:r>
            <w:proofErr w:type="gramStart"/>
            <w:r w:rsidR="00887BDF" w:rsidRPr="00915B3F">
              <w:rPr>
                <w:color w:val="000000" w:themeColor="text1"/>
                <w:vertAlign w:val="superscript"/>
              </w:rPr>
              <w:t>i</w:t>
            </w:r>
            <w:r w:rsidR="00887BDF" w:rsidRPr="00887BDF">
              <w:rPr>
                <w:strike/>
                <w:color w:val="C00000"/>
                <w:vertAlign w:val="superscript"/>
              </w:rPr>
              <w:t>,j</w:t>
            </w:r>
            <w:proofErr w:type="gramEnd"/>
          </w:p>
        </w:tc>
        <w:tc>
          <w:tcPr>
            <w:tcW w:w="1066" w:type="dxa"/>
          </w:tcPr>
          <w:p w14:paraId="34A4BA50" w14:textId="77777777" w:rsidR="002A053B" w:rsidRPr="00915B3F" w:rsidRDefault="002A053B" w:rsidP="00BB4D8D">
            <w:pPr>
              <w:ind w:left="0"/>
              <w:jc w:val="center"/>
              <w:rPr>
                <w:strike/>
                <w:color w:val="000000" w:themeColor="text1"/>
              </w:rPr>
            </w:pPr>
            <w:r w:rsidRPr="00915B3F">
              <w:rPr>
                <w:strike/>
                <w:color w:val="000000" w:themeColor="text1"/>
              </w:rPr>
              <w:t>0.55</w:t>
            </w:r>
            <w:r w:rsidRPr="00915B3F">
              <w:rPr>
                <w:color w:val="000000" w:themeColor="text1"/>
              </w:rPr>
              <w:t xml:space="preserve"> </w:t>
            </w:r>
            <w:r w:rsidRPr="00915B3F">
              <w:rPr>
                <w:color w:val="000000" w:themeColor="text1"/>
                <w:u w:val="single"/>
              </w:rPr>
              <w:t>0.50</w:t>
            </w:r>
          </w:p>
        </w:tc>
        <w:tc>
          <w:tcPr>
            <w:tcW w:w="1980" w:type="dxa"/>
          </w:tcPr>
          <w:p w14:paraId="2E8C63BC" w14:textId="77777777" w:rsidR="002A053B" w:rsidRPr="00915B3F" w:rsidRDefault="002A053B" w:rsidP="00BB4D8D">
            <w:pPr>
              <w:ind w:left="0"/>
              <w:jc w:val="center"/>
              <w:rPr>
                <w:color w:val="000000" w:themeColor="text1"/>
              </w:rPr>
            </w:pPr>
            <w:r w:rsidRPr="00915B3F">
              <w:rPr>
                <w:color w:val="000000" w:themeColor="text1"/>
              </w:rPr>
              <w:t>NR</w:t>
            </w:r>
          </w:p>
        </w:tc>
      </w:tr>
      <w:tr w:rsidR="002A053B" w14:paraId="34302C26" w14:textId="77777777" w:rsidTr="00BB4D8D">
        <w:trPr>
          <w:trHeight w:val="557"/>
        </w:trPr>
        <w:tc>
          <w:tcPr>
            <w:tcW w:w="1854" w:type="dxa"/>
          </w:tcPr>
          <w:p w14:paraId="19E3EACB" w14:textId="77777777" w:rsidR="002A053B" w:rsidRDefault="002A053B" w:rsidP="00BB4D8D">
            <w:pPr>
              <w:ind w:left="0"/>
            </w:pPr>
            <w:r>
              <w:t>7 and 8</w:t>
            </w:r>
          </w:p>
        </w:tc>
        <w:tc>
          <w:tcPr>
            <w:tcW w:w="1575" w:type="dxa"/>
          </w:tcPr>
          <w:p w14:paraId="57B3221F" w14:textId="6ACDA6FF" w:rsidR="002A053B" w:rsidRPr="00915B3F" w:rsidRDefault="002A053B" w:rsidP="00BB4D8D">
            <w:pPr>
              <w:ind w:left="0"/>
              <w:jc w:val="center"/>
              <w:rPr>
                <w:strike/>
                <w:color w:val="000000" w:themeColor="text1"/>
              </w:rPr>
            </w:pPr>
            <w:r w:rsidRPr="00915B3F">
              <w:rPr>
                <w:strike/>
                <w:color w:val="000000" w:themeColor="text1"/>
              </w:rPr>
              <w:t xml:space="preserve">0.30 </w:t>
            </w:r>
            <w:r w:rsidRPr="00915B3F">
              <w:rPr>
                <w:color w:val="000000" w:themeColor="text1"/>
                <w:u w:val="single"/>
              </w:rPr>
              <w:t>0.27</w:t>
            </w:r>
            <w:r w:rsidR="00887BDF" w:rsidRPr="00915B3F">
              <w:rPr>
                <w:color w:val="000000" w:themeColor="text1"/>
                <w:vertAlign w:val="superscript"/>
              </w:rPr>
              <w:t xml:space="preserve"> </w:t>
            </w:r>
            <w:proofErr w:type="gramStart"/>
            <w:r w:rsidR="00887BDF" w:rsidRPr="00915B3F">
              <w:rPr>
                <w:color w:val="000000" w:themeColor="text1"/>
                <w:vertAlign w:val="superscript"/>
              </w:rPr>
              <w:t>i</w:t>
            </w:r>
            <w:r w:rsidR="00887BDF" w:rsidRPr="00887BDF">
              <w:rPr>
                <w:strike/>
                <w:color w:val="C00000"/>
                <w:vertAlign w:val="superscript"/>
              </w:rPr>
              <w:t>,j</w:t>
            </w:r>
            <w:proofErr w:type="gramEnd"/>
          </w:p>
        </w:tc>
        <w:tc>
          <w:tcPr>
            <w:tcW w:w="1066" w:type="dxa"/>
          </w:tcPr>
          <w:p w14:paraId="0E30D7D5" w14:textId="77777777" w:rsidR="002A053B" w:rsidRPr="00915B3F" w:rsidRDefault="002A053B" w:rsidP="00BB4D8D">
            <w:pPr>
              <w:ind w:left="0"/>
              <w:jc w:val="center"/>
              <w:rPr>
                <w:strike/>
                <w:color w:val="000000" w:themeColor="text1"/>
              </w:rPr>
            </w:pPr>
            <w:r w:rsidRPr="00915B3F">
              <w:rPr>
                <w:strike/>
                <w:color w:val="000000" w:themeColor="text1"/>
              </w:rPr>
              <w:t>0.55</w:t>
            </w:r>
            <w:r w:rsidRPr="00915B3F">
              <w:rPr>
                <w:color w:val="000000" w:themeColor="text1"/>
              </w:rPr>
              <w:t xml:space="preserve"> </w:t>
            </w:r>
            <w:r w:rsidRPr="00915B3F">
              <w:rPr>
                <w:color w:val="000000" w:themeColor="text1"/>
                <w:u w:val="single"/>
              </w:rPr>
              <w:t>0.50</w:t>
            </w:r>
          </w:p>
        </w:tc>
        <w:tc>
          <w:tcPr>
            <w:tcW w:w="1980" w:type="dxa"/>
          </w:tcPr>
          <w:p w14:paraId="02D4AE52" w14:textId="77777777" w:rsidR="002A053B" w:rsidRDefault="002A053B" w:rsidP="00BB4D8D">
            <w:pPr>
              <w:ind w:left="0"/>
              <w:jc w:val="center"/>
            </w:pPr>
            <w:r>
              <w:t>NR</w:t>
            </w:r>
          </w:p>
        </w:tc>
      </w:tr>
    </w:tbl>
    <w:p w14:paraId="07147C52" w14:textId="77777777" w:rsidR="00170263" w:rsidRPr="00170263" w:rsidRDefault="00170263" w:rsidP="00170263">
      <w:r w:rsidRPr="00170263">
        <w:t xml:space="preserve">For SI: 1 foot = 304.8 mm. </w:t>
      </w:r>
    </w:p>
    <w:p w14:paraId="34456E13" w14:textId="7071DB26" w:rsidR="002A053B" w:rsidRDefault="00170263" w:rsidP="00170263">
      <w:r w:rsidRPr="00170263">
        <w:t>NR = Not Required.</w:t>
      </w:r>
      <w:r w:rsidRPr="00170263">
        <w:br/>
        <w:t xml:space="preserve">ci = continuous insulation. </w:t>
      </w:r>
    </w:p>
    <w:p w14:paraId="76D5C783" w14:textId="311AAD7B" w:rsidR="00170263" w:rsidRPr="008C19E8" w:rsidRDefault="00170263" w:rsidP="00170263">
      <w:pPr>
        <w:pStyle w:val="ListParagraph"/>
        <w:numPr>
          <w:ilvl w:val="0"/>
          <w:numId w:val="39"/>
        </w:numPr>
      </w:pPr>
      <w:r w:rsidRPr="00170263">
        <w:rPr>
          <w:rFonts w:cstheme="minorHAnsi"/>
          <w:i/>
          <w:iCs/>
          <w:color w:val="191C1F"/>
        </w:rPr>
        <w:t>R</w:t>
      </w:r>
      <w:r w:rsidRPr="00170263">
        <w:rPr>
          <w:rFonts w:cstheme="minorHAnsi"/>
          <w:color w:val="191C1F"/>
        </w:rPr>
        <w:t xml:space="preserve">-values are minimums. </w:t>
      </w:r>
      <w:r w:rsidRPr="00170263">
        <w:rPr>
          <w:rFonts w:cstheme="minorHAnsi"/>
          <w:i/>
          <w:iCs/>
          <w:color w:val="191C1F"/>
        </w:rPr>
        <w:t>U</w:t>
      </w:r>
      <w:r w:rsidRPr="00170263">
        <w:rPr>
          <w:rFonts w:cstheme="minorHAnsi"/>
          <w:color w:val="191C1F"/>
        </w:rPr>
        <w:t xml:space="preserve">-factors and SHGC are maximums. Where insulation is installed in a cavity that is less than the label or design thickness of the insulation, the installed </w:t>
      </w:r>
      <w:r w:rsidRPr="00170263">
        <w:rPr>
          <w:rFonts w:cstheme="minorHAnsi"/>
          <w:i/>
          <w:iCs/>
          <w:color w:val="191C1F"/>
        </w:rPr>
        <w:t>R</w:t>
      </w:r>
      <w:r w:rsidRPr="00170263">
        <w:rPr>
          <w:rFonts w:cstheme="minorHAnsi"/>
          <w:color w:val="191C1F"/>
        </w:rPr>
        <w:t xml:space="preserve">-value of the insulation shall be not less than the </w:t>
      </w:r>
      <w:r w:rsidRPr="00170263">
        <w:rPr>
          <w:rFonts w:cstheme="minorHAnsi"/>
          <w:i/>
          <w:iCs/>
          <w:color w:val="191C1F"/>
        </w:rPr>
        <w:t>R</w:t>
      </w:r>
      <w:r w:rsidRPr="00170263">
        <w:rPr>
          <w:rFonts w:cstheme="minorHAnsi"/>
          <w:color w:val="191C1F"/>
        </w:rPr>
        <w:t>-value specified in the table.</w:t>
      </w:r>
      <w:r w:rsidRPr="00170263">
        <w:rPr>
          <w:rFonts w:cstheme="minorHAnsi"/>
        </w:rPr>
        <w:t xml:space="preserve"> </w:t>
      </w:r>
    </w:p>
    <w:p w14:paraId="130A754C" w14:textId="77777777" w:rsidR="00170263" w:rsidRPr="008C19E8" w:rsidRDefault="00170263" w:rsidP="00170263">
      <w:pPr>
        <w:pStyle w:val="ListParagraph"/>
        <w:numPr>
          <w:ilvl w:val="0"/>
          <w:numId w:val="39"/>
        </w:numPr>
      </w:pPr>
      <w:r w:rsidRPr="00887BDF">
        <w:t xml:space="preserve">The fenestration U-factor column excludes skylights. </w:t>
      </w:r>
      <w:r w:rsidRPr="008C19E8">
        <w:t xml:space="preserve">The SHGC column applies to all glazed </w:t>
      </w:r>
      <w:proofErr w:type="gramStart"/>
      <w:r w:rsidRPr="008C19E8">
        <w:t>fenestration</w:t>
      </w:r>
      <w:proofErr w:type="gramEnd"/>
      <w:r w:rsidRPr="008C19E8">
        <w:t xml:space="preserve">. </w:t>
      </w:r>
    </w:p>
    <w:p w14:paraId="5210215A" w14:textId="1AEF89A3" w:rsidR="00887BDF" w:rsidRPr="008C19E8" w:rsidRDefault="00170263" w:rsidP="00887BDF">
      <w:pPr>
        <w:pStyle w:val="ListParagraph"/>
        <w:ind w:left="1440"/>
      </w:pPr>
      <w:r w:rsidRPr="008C19E8">
        <w:rPr>
          <w:b/>
          <w:bCs/>
        </w:rPr>
        <w:lastRenderedPageBreak/>
        <w:t xml:space="preserve">Exception: </w:t>
      </w:r>
      <w:r w:rsidRPr="008C19E8">
        <w:t xml:space="preserve">In Climate Zones 0 through 3, skylights shall be permitted to be excluded from glazed fenestration SHGC requirements provided that the SHGC for such skylights does not exceed </w:t>
      </w:r>
      <w:r w:rsidRPr="008C19E8">
        <w:rPr>
          <w:strike/>
        </w:rPr>
        <w:t>0.30</w:t>
      </w:r>
      <w:r w:rsidRPr="008C19E8">
        <w:t xml:space="preserve"> </w:t>
      </w:r>
      <w:r w:rsidRPr="008C19E8">
        <w:rPr>
          <w:u w:val="single"/>
        </w:rPr>
        <w:t>0.28</w:t>
      </w:r>
      <w:r w:rsidRPr="008C19E8">
        <w:t xml:space="preserve">. </w:t>
      </w:r>
    </w:p>
    <w:p w14:paraId="343EB390" w14:textId="2981209E" w:rsidR="00887BDF" w:rsidRDefault="00887BDF" w:rsidP="00170263">
      <w:pPr>
        <w:pStyle w:val="ListParagraph"/>
        <w:numPr>
          <w:ilvl w:val="0"/>
          <w:numId w:val="39"/>
        </w:numPr>
        <w:rPr>
          <w:color w:val="000000" w:themeColor="text1"/>
        </w:rPr>
      </w:pPr>
      <w:r w:rsidRPr="00887BDF">
        <w:rPr>
          <w:color w:val="000000" w:themeColor="text1"/>
        </w:rPr>
        <w:t>"5ci or 13” means R-5 continuous insulation (ci) on the interior or exterior surface of the wall or R-13 cavity insulation on the interior side of the wall.    "10ci or 13" means R-10 continuous insulation (ci) on the interior or exterior surface of the wall or R-13 cavity insulation on the interior side of the wall.  "15ci or 19 or 13 &amp; 5ci" means R-15 continuous insulation (ci) on the interior or exterior surface of the wall; or R-19 cavity insulation on the interior side of the wall; or R-13 cavity insulation on the interior of the wall in addition to R-5 continuous insulation on the interior or exterior surface of the wall.</w:t>
      </w:r>
    </w:p>
    <w:p w14:paraId="59CD05BF" w14:textId="48490E05" w:rsidR="00887BDF" w:rsidRPr="00887BDF" w:rsidRDefault="00887BDF" w:rsidP="00170263">
      <w:pPr>
        <w:pStyle w:val="ListParagraph"/>
        <w:numPr>
          <w:ilvl w:val="0"/>
          <w:numId w:val="39"/>
        </w:numPr>
        <w:rPr>
          <w:color w:val="000000" w:themeColor="text1"/>
        </w:rPr>
      </w:pPr>
      <w:r w:rsidRPr="00887BDF">
        <w:rPr>
          <w:color w:val="000000" w:themeColor="text1"/>
        </w:rPr>
        <w:t>R-5 insulation shall be provided under the full slab area of a heated slab in addition to the required slab-edge insulation R-value for slabs. as indicated in the table. The slab edge insulation for heated slabs shall not be required to extend below the slab.</w:t>
      </w:r>
    </w:p>
    <w:p w14:paraId="006C0C28" w14:textId="35ABAFA9" w:rsidR="00170263" w:rsidRDefault="00170263" w:rsidP="00170263">
      <w:pPr>
        <w:pStyle w:val="ListParagraph"/>
        <w:numPr>
          <w:ilvl w:val="0"/>
          <w:numId w:val="39"/>
        </w:numPr>
        <w:rPr>
          <w:strike/>
          <w:color w:val="C00000"/>
        </w:rPr>
      </w:pPr>
      <w:r w:rsidRPr="00F55E85">
        <w:rPr>
          <w:strike/>
          <w:color w:val="C00000"/>
        </w:rPr>
        <w:t xml:space="preserve">There are no SHGC requirements in the Marine Zone. </w:t>
      </w:r>
    </w:p>
    <w:p w14:paraId="167EA8B5" w14:textId="331FCB95" w:rsidR="00887BDF" w:rsidRPr="00887BDF" w:rsidRDefault="00887BDF" w:rsidP="00170263">
      <w:pPr>
        <w:pStyle w:val="ListParagraph"/>
        <w:numPr>
          <w:ilvl w:val="0"/>
          <w:numId w:val="39"/>
        </w:numPr>
        <w:rPr>
          <w:color w:val="000000" w:themeColor="text1"/>
        </w:rPr>
      </w:pPr>
      <w:r w:rsidRPr="00887BDF">
        <w:rPr>
          <w:color w:val="000000" w:themeColor="text1"/>
        </w:rPr>
        <w:t>Basement wall insulation is not required in warm-humid locations as defined by Figure R301.1 and Table R301.1.</w:t>
      </w:r>
    </w:p>
    <w:p w14:paraId="41F29277" w14:textId="4F2A8087" w:rsidR="00887BDF" w:rsidRDefault="00887BDF" w:rsidP="00170263">
      <w:pPr>
        <w:pStyle w:val="ListParagraph"/>
        <w:numPr>
          <w:ilvl w:val="0"/>
          <w:numId w:val="39"/>
        </w:numPr>
      </w:pPr>
      <w:r w:rsidRPr="00887BDF">
        <w:t>The first value is cavity insulation; the second value is continuous insulation. Therefore, as an example, “13 &amp; 5” means R-13 cavity insulation plus R-5 continuous insulation.</w:t>
      </w:r>
    </w:p>
    <w:p w14:paraId="2C91A179" w14:textId="4E6AA959" w:rsidR="00887BDF" w:rsidRDefault="00887BDF" w:rsidP="00170263">
      <w:pPr>
        <w:pStyle w:val="ListParagraph"/>
        <w:numPr>
          <w:ilvl w:val="0"/>
          <w:numId w:val="39"/>
        </w:numPr>
      </w:pPr>
      <w:r w:rsidRPr="00887BDF">
        <w:t>Mass walls shall be in accordance with Section R402.2.5. The second R-value applies where more than half of the insulation is on the interior of the mass wall.</w:t>
      </w:r>
    </w:p>
    <w:p w14:paraId="4C1AFB0D" w14:textId="65D1F00A" w:rsidR="00170263" w:rsidRPr="008C19E8" w:rsidRDefault="00170263" w:rsidP="00170263">
      <w:pPr>
        <w:pStyle w:val="ListParagraph"/>
        <w:numPr>
          <w:ilvl w:val="0"/>
          <w:numId w:val="39"/>
        </w:numPr>
      </w:pPr>
      <w:r w:rsidRPr="008C19E8">
        <w:t xml:space="preserve">A maximum U-factor of </w:t>
      </w:r>
      <w:r w:rsidRPr="00F55E85">
        <w:rPr>
          <w:strike/>
          <w:color w:val="C00000"/>
        </w:rPr>
        <w:t>0.32</w:t>
      </w:r>
      <w:r w:rsidRPr="00F55E85">
        <w:rPr>
          <w:color w:val="C00000"/>
        </w:rPr>
        <w:t xml:space="preserve"> </w:t>
      </w:r>
      <w:r w:rsidRPr="00F55E85">
        <w:rPr>
          <w:color w:val="C00000"/>
          <w:u w:val="single"/>
        </w:rPr>
        <w:t>0.30</w:t>
      </w:r>
      <w:r>
        <w:t xml:space="preserve"> </w:t>
      </w:r>
      <w:r w:rsidRPr="008C19E8">
        <w:t xml:space="preserve">shall apply in Marine Climate Zone 4 and Climate Zones 5 through 8 to vertical fenestration products installed in buildings located either: </w:t>
      </w:r>
    </w:p>
    <w:p w14:paraId="7FA740EE" w14:textId="77777777" w:rsidR="00887BDF" w:rsidRDefault="00170263" w:rsidP="00170263">
      <w:pPr>
        <w:pStyle w:val="ListParagraph"/>
        <w:numPr>
          <w:ilvl w:val="1"/>
          <w:numId w:val="39"/>
        </w:numPr>
      </w:pPr>
      <w:r w:rsidRPr="008C19E8">
        <w:t>Above 4,000 feet in elevation above sea level, or</w:t>
      </w:r>
    </w:p>
    <w:p w14:paraId="421DF51F" w14:textId="07AC7F96" w:rsidR="00170263" w:rsidRPr="008C19E8" w:rsidRDefault="00170263" w:rsidP="00170263">
      <w:pPr>
        <w:pStyle w:val="ListParagraph"/>
        <w:numPr>
          <w:ilvl w:val="1"/>
          <w:numId w:val="39"/>
        </w:numPr>
      </w:pPr>
      <w:r w:rsidRPr="008C19E8">
        <w:t xml:space="preserve">In windborne debris regions where protection of openings is required by Section R301.2.1.2 of the </w:t>
      </w:r>
      <w:r w:rsidRPr="00EF68D9">
        <w:rPr>
          <w:i/>
          <w:iCs/>
        </w:rPr>
        <w:t>International Residential Code</w:t>
      </w:r>
      <w:r w:rsidRPr="008C19E8">
        <w:t xml:space="preserve">. </w:t>
      </w:r>
    </w:p>
    <w:p w14:paraId="12516B93" w14:textId="77777777" w:rsidR="00170263" w:rsidRPr="00F55E85" w:rsidRDefault="00170263" w:rsidP="00170263">
      <w:pPr>
        <w:pStyle w:val="ListParagraph"/>
        <w:numPr>
          <w:ilvl w:val="0"/>
          <w:numId w:val="39"/>
        </w:numPr>
        <w:rPr>
          <w:strike/>
          <w:color w:val="C00000"/>
        </w:rPr>
      </w:pPr>
      <w:r w:rsidRPr="00F55E85">
        <w:rPr>
          <w:strike/>
          <w:color w:val="C00000"/>
        </w:rPr>
        <w:t xml:space="preserve">In Marine Climate Zone 4 and Climate Zones 5 through 8, the maximum U-factor for vertical fenestration shall be 0.28 when the SHGC is from 0.32 to 0.36, 0.29 when the SHGC is from 0.37 to 0.42, and 0.30 when the SHGC is greater than or equal to 0.42. </w:t>
      </w:r>
    </w:p>
    <w:p w14:paraId="3EADB2EF" w14:textId="1D67B0E4" w:rsidR="008939B9" w:rsidRDefault="008939B9" w:rsidP="00775AC3">
      <w:pPr>
        <w:ind w:left="0"/>
      </w:pPr>
    </w:p>
    <w:p w14:paraId="21D17D9E" w14:textId="77777777" w:rsidR="00775AC3" w:rsidRDefault="00775AC3" w:rsidP="00775AC3">
      <w:pPr>
        <w:ind w:left="0"/>
      </w:pPr>
    </w:p>
    <w:p w14:paraId="556A4CDD" w14:textId="77777777" w:rsidR="008939B9" w:rsidRPr="00CC4D9A" w:rsidRDefault="008939B9" w:rsidP="002E7A1F">
      <w:pPr>
        <w:rPr>
          <w:rFonts w:ascii="Times New Roman" w:eastAsia="Times New Roman" w:hAnsi="Times New Roman" w:cs="Times New Roman"/>
          <w:color w:val="FF0000"/>
          <w:sz w:val="24"/>
          <w:szCs w:val="24"/>
        </w:rPr>
      </w:pPr>
    </w:p>
    <w:p w14:paraId="489A96FE" w14:textId="4847283B" w:rsidR="00577B7B" w:rsidRDefault="00577B7B" w:rsidP="00080EEB">
      <w:pPr>
        <w:ind w:left="0"/>
      </w:pPr>
    </w:p>
    <w:sectPr w:rsidR="00577B7B">
      <w:headerReference w:type="even"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1EBF9" w14:textId="77777777" w:rsidR="00C818BA" w:rsidRDefault="00C818BA" w:rsidP="00A630FC">
      <w:r>
        <w:separator/>
      </w:r>
    </w:p>
  </w:endnote>
  <w:endnote w:type="continuationSeparator" w:id="0">
    <w:p w14:paraId="7AEB6546" w14:textId="77777777" w:rsidR="00C818BA" w:rsidRDefault="00C818BA" w:rsidP="00A630FC">
      <w:r>
        <w:continuationSeparator/>
      </w:r>
    </w:p>
  </w:endnote>
  <w:endnote w:type="continuationNotice" w:id="1">
    <w:p w14:paraId="17C6E15B" w14:textId="77777777" w:rsidR="00C818BA" w:rsidRDefault="00C818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Lucida Bright">
    <w:panose1 w:val="0204060205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7AE3C" w14:textId="77777777" w:rsidR="00C818BA" w:rsidRDefault="00C818BA" w:rsidP="00A630FC">
      <w:r>
        <w:separator/>
      </w:r>
    </w:p>
  </w:footnote>
  <w:footnote w:type="continuationSeparator" w:id="0">
    <w:p w14:paraId="4ECFFC06" w14:textId="77777777" w:rsidR="00C818BA" w:rsidRDefault="00C818BA" w:rsidP="00A630FC">
      <w:r>
        <w:continuationSeparator/>
      </w:r>
    </w:p>
  </w:footnote>
  <w:footnote w:type="continuationNotice" w:id="1">
    <w:p w14:paraId="6E57D14B" w14:textId="77777777" w:rsidR="00C818BA" w:rsidRDefault="00C818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6A2A" w14:textId="22568E24" w:rsidR="00063453" w:rsidRDefault="00C818BA" w:rsidP="00A630FC">
    <w:pPr>
      <w:pStyle w:val="Header"/>
    </w:pPr>
    <w:r>
      <w:rPr>
        <w:noProof/>
      </w:rPr>
      <w:pict w14:anchorId="3BC226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left:0;text-align:left;margin-left:0;margin-top:0;width:494.9pt;height:164.95pt;rotation:315;z-index:-251658240;mso-wrap-edited:f;mso-width-percent:0;mso-height-percent:0;mso-position-horizontal:center;mso-position-horizontal-relative:margin;mso-position-vertical:center;mso-position-vertical-relative:margin;mso-width-percent:0;mso-height-percent:0"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E9BA9" w14:textId="00D0C733" w:rsidR="00063453" w:rsidRDefault="00C818BA" w:rsidP="00A630FC">
    <w:pPr>
      <w:pStyle w:val="Header"/>
    </w:pPr>
    <w:r>
      <w:rPr>
        <w:noProof/>
      </w:rPr>
      <w:pict w14:anchorId="2A5E5A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alt="" style="position:absolute;left:0;text-align:left;margin-left:0;margin-top:0;width:494.9pt;height:164.95pt;rotation:315;z-index:-251658239;mso-wrap-edited:f;mso-width-percent:0;mso-height-percent:0;mso-position-horizontal:center;mso-position-horizontal-relative:margin;mso-position-vertical:center;mso-position-vertical-relative:margin;mso-width-percent:0;mso-height-percent:0"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DA7"/>
    <w:multiLevelType w:val="hybridMultilevel"/>
    <w:tmpl w:val="82EAD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EC0158"/>
    <w:multiLevelType w:val="hybridMultilevel"/>
    <w:tmpl w:val="77A685D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CA30E29"/>
    <w:multiLevelType w:val="hybridMultilevel"/>
    <w:tmpl w:val="652CD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118C0"/>
    <w:multiLevelType w:val="hybridMultilevel"/>
    <w:tmpl w:val="57A494A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ED0733D"/>
    <w:multiLevelType w:val="hybridMultilevel"/>
    <w:tmpl w:val="601A2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C085D"/>
    <w:multiLevelType w:val="hybridMultilevel"/>
    <w:tmpl w:val="EC2860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133ADD"/>
    <w:multiLevelType w:val="hybridMultilevel"/>
    <w:tmpl w:val="79843042"/>
    <w:lvl w:ilvl="0" w:tplc="DB54E5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A80D86"/>
    <w:multiLevelType w:val="hybridMultilevel"/>
    <w:tmpl w:val="F65851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E134CE"/>
    <w:multiLevelType w:val="hybridMultilevel"/>
    <w:tmpl w:val="04C07C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CEC3814"/>
    <w:multiLevelType w:val="hybridMultilevel"/>
    <w:tmpl w:val="47E0D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75370"/>
    <w:multiLevelType w:val="hybridMultilevel"/>
    <w:tmpl w:val="77A685D6"/>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1" w15:restartNumberingAfterBreak="0">
    <w:nsid w:val="26721937"/>
    <w:multiLevelType w:val="hybridMultilevel"/>
    <w:tmpl w:val="25FCA0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A07343"/>
    <w:multiLevelType w:val="hybridMultilevel"/>
    <w:tmpl w:val="04C07C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9914CE0"/>
    <w:multiLevelType w:val="hybridMultilevel"/>
    <w:tmpl w:val="E2542E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E1602F"/>
    <w:multiLevelType w:val="hybridMultilevel"/>
    <w:tmpl w:val="84AAEA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EC32D13"/>
    <w:multiLevelType w:val="multilevel"/>
    <w:tmpl w:val="BCD48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0A02171"/>
    <w:multiLevelType w:val="hybridMultilevel"/>
    <w:tmpl w:val="3CCE383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314335E"/>
    <w:multiLevelType w:val="hybridMultilevel"/>
    <w:tmpl w:val="11E6EACE"/>
    <w:lvl w:ilvl="0" w:tplc="FFFFFFFF">
      <w:start w:val="1"/>
      <w:numFmt w:val="lowerLetter"/>
      <w:lvlText w:val="%1."/>
      <w:lvlJc w:val="left"/>
      <w:pPr>
        <w:ind w:left="1440" w:hanging="360"/>
      </w:pPr>
    </w:lvl>
    <w:lvl w:ilvl="1" w:tplc="FFFFFFFF">
      <w:start w:val="1"/>
      <w:numFmt w:val="decimal"/>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38ED2476"/>
    <w:multiLevelType w:val="hybridMultilevel"/>
    <w:tmpl w:val="80B079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9867A4A"/>
    <w:multiLevelType w:val="hybridMultilevel"/>
    <w:tmpl w:val="550E5ED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ABB4611"/>
    <w:multiLevelType w:val="hybridMultilevel"/>
    <w:tmpl w:val="88780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B893F31"/>
    <w:multiLevelType w:val="hybridMultilevel"/>
    <w:tmpl w:val="79843042"/>
    <w:lvl w:ilvl="0" w:tplc="DB54E5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C7B7273"/>
    <w:multiLevelType w:val="hybridMultilevel"/>
    <w:tmpl w:val="1B0E65CA"/>
    <w:lvl w:ilvl="0" w:tplc="D820FA84">
      <w:start w:val="1"/>
      <w:numFmt w:val="upperRoman"/>
      <w:lvlText w:val="%1."/>
      <w:lvlJc w:val="left"/>
      <w:pPr>
        <w:ind w:left="5310" w:hanging="72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9F5721"/>
    <w:multiLevelType w:val="hybridMultilevel"/>
    <w:tmpl w:val="09987056"/>
    <w:lvl w:ilvl="0" w:tplc="7FA0A3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470580"/>
    <w:multiLevelType w:val="hybridMultilevel"/>
    <w:tmpl w:val="95C06D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6126885"/>
    <w:multiLevelType w:val="hybridMultilevel"/>
    <w:tmpl w:val="E638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5A239C"/>
    <w:multiLevelType w:val="hybridMultilevel"/>
    <w:tmpl w:val="C4184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5526A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2B083E"/>
    <w:multiLevelType w:val="hybridMultilevel"/>
    <w:tmpl w:val="D2F8F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E13F93"/>
    <w:multiLevelType w:val="hybridMultilevel"/>
    <w:tmpl w:val="74AC4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0A606D"/>
    <w:multiLevelType w:val="hybridMultilevel"/>
    <w:tmpl w:val="6B8F12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AFC268A"/>
    <w:multiLevelType w:val="hybridMultilevel"/>
    <w:tmpl w:val="7C182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28369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4FA59E0"/>
    <w:multiLevelType w:val="hybridMultilevel"/>
    <w:tmpl w:val="1B0E65CA"/>
    <w:lvl w:ilvl="0" w:tplc="D820FA84">
      <w:start w:val="1"/>
      <w:numFmt w:val="upperRoman"/>
      <w:lvlText w:val="%1."/>
      <w:lvlJc w:val="left"/>
      <w:pPr>
        <w:ind w:left="5310" w:hanging="72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FCA7EA"/>
    <w:multiLevelType w:val="hybridMultilevel"/>
    <w:tmpl w:val="BBC3B0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8A40173"/>
    <w:multiLevelType w:val="hybridMultilevel"/>
    <w:tmpl w:val="8AF2C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D977A6"/>
    <w:multiLevelType w:val="hybridMultilevel"/>
    <w:tmpl w:val="8B40892C"/>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DC12AF5"/>
    <w:multiLevelType w:val="hybridMultilevel"/>
    <w:tmpl w:val="CA1AEC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E834268"/>
    <w:multiLevelType w:val="hybridMultilevel"/>
    <w:tmpl w:val="11E6EACE"/>
    <w:lvl w:ilvl="0" w:tplc="04090019">
      <w:start w:val="1"/>
      <w:numFmt w:val="lowerLetter"/>
      <w:lvlText w:val="%1."/>
      <w:lvlJc w:val="left"/>
      <w:pPr>
        <w:ind w:left="1440" w:hanging="360"/>
      </w:pPr>
    </w:lvl>
    <w:lvl w:ilvl="1" w:tplc="6EB6A2A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3"/>
  </w:num>
  <w:num w:numId="2">
    <w:abstractNumId w:val="37"/>
  </w:num>
  <w:num w:numId="3">
    <w:abstractNumId w:val="36"/>
  </w:num>
  <w:num w:numId="4">
    <w:abstractNumId w:val="24"/>
  </w:num>
  <w:num w:numId="5">
    <w:abstractNumId w:val="20"/>
  </w:num>
  <w:num w:numId="6">
    <w:abstractNumId w:val="23"/>
  </w:num>
  <w:num w:numId="7">
    <w:abstractNumId w:val="8"/>
  </w:num>
  <w:num w:numId="8">
    <w:abstractNumId w:val="29"/>
  </w:num>
  <w:num w:numId="9">
    <w:abstractNumId w:val="3"/>
  </w:num>
  <w:num w:numId="10">
    <w:abstractNumId w:val="16"/>
  </w:num>
  <w:num w:numId="11">
    <w:abstractNumId w:val="12"/>
  </w:num>
  <w:num w:numId="12">
    <w:abstractNumId w:val="22"/>
  </w:num>
  <w:num w:numId="13">
    <w:abstractNumId w:val="32"/>
  </w:num>
  <w:num w:numId="14">
    <w:abstractNumId w:val="27"/>
  </w:num>
  <w:num w:numId="15">
    <w:abstractNumId w:val="4"/>
  </w:num>
  <w:num w:numId="16">
    <w:abstractNumId w:val="31"/>
  </w:num>
  <w:num w:numId="17">
    <w:abstractNumId w:val="7"/>
  </w:num>
  <w:num w:numId="18">
    <w:abstractNumId w:val="35"/>
  </w:num>
  <w:num w:numId="19">
    <w:abstractNumId w:val="19"/>
  </w:num>
  <w:num w:numId="20">
    <w:abstractNumId w:val="21"/>
  </w:num>
  <w:num w:numId="21">
    <w:abstractNumId w:val="6"/>
  </w:num>
  <w:num w:numId="22">
    <w:abstractNumId w:val="9"/>
  </w:num>
  <w:num w:numId="23">
    <w:abstractNumId w:val="26"/>
  </w:num>
  <w:num w:numId="24">
    <w:abstractNumId w:val="14"/>
  </w:num>
  <w:num w:numId="25">
    <w:abstractNumId w:val="11"/>
  </w:num>
  <w:num w:numId="26">
    <w:abstractNumId w:val="30"/>
  </w:num>
  <w:num w:numId="27">
    <w:abstractNumId w:val="5"/>
  </w:num>
  <w:num w:numId="28">
    <w:abstractNumId w:val="34"/>
  </w:num>
  <w:num w:numId="29">
    <w:abstractNumId w:val="13"/>
  </w:num>
  <w:num w:numId="30">
    <w:abstractNumId w:val="0"/>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5"/>
  </w:num>
  <w:num w:numId="35">
    <w:abstractNumId w:val="1"/>
  </w:num>
  <w:num w:numId="36">
    <w:abstractNumId w:val="10"/>
  </w:num>
  <w:num w:numId="37">
    <w:abstractNumId w:val="28"/>
  </w:num>
  <w:num w:numId="38">
    <w:abstractNumId w:val="38"/>
  </w:num>
  <w:num w:numId="39">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EBD"/>
    <w:rsid w:val="0000010E"/>
    <w:rsid w:val="0000151C"/>
    <w:rsid w:val="000018CC"/>
    <w:rsid w:val="00001965"/>
    <w:rsid w:val="00003A78"/>
    <w:rsid w:val="0000402C"/>
    <w:rsid w:val="000106A5"/>
    <w:rsid w:val="000106B2"/>
    <w:rsid w:val="00010A13"/>
    <w:rsid w:val="00013825"/>
    <w:rsid w:val="000145D2"/>
    <w:rsid w:val="00016521"/>
    <w:rsid w:val="0002047F"/>
    <w:rsid w:val="00020817"/>
    <w:rsid w:val="00021627"/>
    <w:rsid w:val="00021CC0"/>
    <w:rsid w:val="000250E9"/>
    <w:rsid w:val="000254A2"/>
    <w:rsid w:val="00027FEE"/>
    <w:rsid w:val="00030C2A"/>
    <w:rsid w:val="00030CAD"/>
    <w:rsid w:val="00032B36"/>
    <w:rsid w:val="00033446"/>
    <w:rsid w:val="00034229"/>
    <w:rsid w:val="0003454E"/>
    <w:rsid w:val="00034A70"/>
    <w:rsid w:val="00036E39"/>
    <w:rsid w:val="00037A98"/>
    <w:rsid w:val="00041720"/>
    <w:rsid w:val="0004311F"/>
    <w:rsid w:val="0004360E"/>
    <w:rsid w:val="00045325"/>
    <w:rsid w:val="00046592"/>
    <w:rsid w:val="00046C78"/>
    <w:rsid w:val="00047025"/>
    <w:rsid w:val="00050690"/>
    <w:rsid w:val="00050912"/>
    <w:rsid w:val="00050EBD"/>
    <w:rsid w:val="00054D18"/>
    <w:rsid w:val="00055E68"/>
    <w:rsid w:val="00056EC7"/>
    <w:rsid w:val="000608A7"/>
    <w:rsid w:val="00061BDC"/>
    <w:rsid w:val="00062238"/>
    <w:rsid w:val="00062D3B"/>
    <w:rsid w:val="00062E6A"/>
    <w:rsid w:val="00062F80"/>
    <w:rsid w:val="00063453"/>
    <w:rsid w:val="00063E3F"/>
    <w:rsid w:val="00064500"/>
    <w:rsid w:val="0006613B"/>
    <w:rsid w:val="0006660C"/>
    <w:rsid w:val="00070514"/>
    <w:rsid w:val="000738CB"/>
    <w:rsid w:val="00073966"/>
    <w:rsid w:val="00074E23"/>
    <w:rsid w:val="00080EEB"/>
    <w:rsid w:val="00087495"/>
    <w:rsid w:val="00090031"/>
    <w:rsid w:val="00090DE8"/>
    <w:rsid w:val="00092B2A"/>
    <w:rsid w:val="0009366D"/>
    <w:rsid w:val="00094E1A"/>
    <w:rsid w:val="00094E26"/>
    <w:rsid w:val="00095A98"/>
    <w:rsid w:val="00096380"/>
    <w:rsid w:val="000964A2"/>
    <w:rsid w:val="0009760B"/>
    <w:rsid w:val="000A0497"/>
    <w:rsid w:val="000A1672"/>
    <w:rsid w:val="000A1DBD"/>
    <w:rsid w:val="000A1DD3"/>
    <w:rsid w:val="000A31B4"/>
    <w:rsid w:val="000A360B"/>
    <w:rsid w:val="000A484D"/>
    <w:rsid w:val="000A7DDC"/>
    <w:rsid w:val="000B01B7"/>
    <w:rsid w:val="000B06E7"/>
    <w:rsid w:val="000B1FB0"/>
    <w:rsid w:val="000B2239"/>
    <w:rsid w:val="000B6059"/>
    <w:rsid w:val="000B7926"/>
    <w:rsid w:val="000B7CE7"/>
    <w:rsid w:val="000C1921"/>
    <w:rsid w:val="000C1BA7"/>
    <w:rsid w:val="000C265A"/>
    <w:rsid w:val="000C6E43"/>
    <w:rsid w:val="000C7324"/>
    <w:rsid w:val="000D2FDF"/>
    <w:rsid w:val="000D329F"/>
    <w:rsid w:val="000D6277"/>
    <w:rsid w:val="000D7A92"/>
    <w:rsid w:val="000E01AC"/>
    <w:rsid w:val="000E126D"/>
    <w:rsid w:val="000E6BF3"/>
    <w:rsid w:val="000F1383"/>
    <w:rsid w:val="000F397B"/>
    <w:rsid w:val="000F4D0A"/>
    <w:rsid w:val="000F54D6"/>
    <w:rsid w:val="000F56DF"/>
    <w:rsid w:val="000F6D3D"/>
    <w:rsid w:val="0010088B"/>
    <w:rsid w:val="001016FF"/>
    <w:rsid w:val="00101F81"/>
    <w:rsid w:val="001024C6"/>
    <w:rsid w:val="001074C8"/>
    <w:rsid w:val="001102BF"/>
    <w:rsid w:val="00110A5B"/>
    <w:rsid w:val="001122D3"/>
    <w:rsid w:val="00115F34"/>
    <w:rsid w:val="0011657E"/>
    <w:rsid w:val="00117301"/>
    <w:rsid w:val="001211ED"/>
    <w:rsid w:val="0012212A"/>
    <w:rsid w:val="00122A3F"/>
    <w:rsid w:val="0012340C"/>
    <w:rsid w:val="001244F9"/>
    <w:rsid w:val="001250D3"/>
    <w:rsid w:val="00125B5A"/>
    <w:rsid w:val="00133280"/>
    <w:rsid w:val="0013448B"/>
    <w:rsid w:val="00135ABD"/>
    <w:rsid w:val="001362FC"/>
    <w:rsid w:val="00136D3F"/>
    <w:rsid w:val="00137BE8"/>
    <w:rsid w:val="001414D1"/>
    <w:rsid w:val="00141712"/>
    <w:rsid w:val="0014215B"/>
    <w:rsid w:val="00143C8B"/>
    <w:rsid w:val="00143D55"/>
    <w:rsid w:val="00144AE0"/>
    <w:rsid w:val="001462F9"/>
    <w:rsid w:val="00150B86"/>
    <w:rsid w:val="001528A8"/>
    <w:rsid w:val="00152F21"/>
    <w:rsid w:val="0015431E"/>
    <w:rsid w:val="00155AC7"/>
    <w:rsid w:val="001573F6"/>
    <w:rsid w:val="00160202"/>
    <w:rsid w:val="00161BC8"/>
    <w:rsid w:val="00162051"/>
    <w:rsid w:val="00162256"/>
    <w:rsid w:val="001637C4"/>
    <w:rsid w:val="00163C9C"/>
    <w:rsid w:val="0016444B"/>
    <w:rsid w:val="00164597"/>
    <w:rsid w:val="00164EBD"/>
    <w:rsid w:val="00164F8E"/>
    <w:rsid w:val="0016543D"/>
    <w:rsid w:val="00167ACF"/>
    <w:rsid w:val="00170263"/>
    <w:rsid w:val="001734E7"/>
    <w:rsid w:val="00175853"/>
    <w:rsid w:val="001766D8"/>
    <w:rsid w:val="00176B67"/>
    <w:rsid w:val="00177019"/>
    <w:rsid w:val="00177657"/>
    <w:rsid w:val="00177C47"/>
    <w:rsid w:val="00182192"/>
    <w:rsid w:val="00184048"/>
    <w:rsid w:val="00186153"/>
    <w:rsid w:val="0018616D"/>
    <w:rsid w:val="00186A0B"/>
    <w:rsid w:val="00186D05"/>
    <w:rsid w:val="0019080E"/>
    <w:rsid w:val="00190E84"/>
    <w:rsid w:val="00190FC5"/>
    <w:rsid w:val="001912DB"/>
    <w:rsid w:val="0019236E"/>
    <w:rsid w:val="001A29B2"/>
    <w:rsid w:val="001A2CCE"/>
    <w:rsid w:val="001A323E"/>
    <w:rsid w:val="001A339C"/>
    <w:rsid w:val="001A5CB1"/>
    <w:rsid w:val="001A6D50"/>
    <w:rsid w:val="001B049B"/>
    <w:rsid w:val="001B0EEB"/>
    <w:rsid w:val="001B262B"/>
    <w:rsid w:val="001B30C8"/>
    <w:rsid w:val="001B3AA1"/>
    <w:rsid w:val="001B3FBB"/>
    <w:rsid w:val="001B4615"/>
    <w:rsid w:val="001B6FC9"/>
    <w:rsid w:val="001B7DA9"/>
    <w:rsid w:val="001C1452"/>
    <w:rsid w:val="001C49CF"/>
    <w:rsid w:val="001C65EC"/>
    <w:rsid w:val="001C69E0"/>
    <w:rsid w:val="001C743B"/>
    <w:rsid w:val="001C7610"/>
    <w:rsid w:val="001D03BD"/>
    <w:rsid w:val="001D1553"/>
    <w:rsid w:val="001D2121"/>
    <w:rsid w:val="001D35B5"/>
    <w:rsid w:val="001D4C76"/>
    <w:rsid w:val="001D508E"/>
    <w:rsid w:val="001D56BC"/>
    <w:rsid w:val="001D6B6D"/>
    <w:rsid w:val="001D7559"/>
    <w:rsid w:val="001E36CE"/>
    <w:rsid w:val="001E47D6"/>
    <w:rsid w:val="001E4F5B"/>
    <w:rsid w:val="001E52C7"/>
    <w:rsid w:val="001E5522"/>
    <w:rsid w:val="001E6130"/>
    <w:rsid w:val="001E62C4"/>
    <w:rsid w:val="001F0545"/>
    <w:rsid w:val="001F161D"/>
    <w:rsid w:val="001F1C5A"/>
    <w:rsid w:val="001F22EF"/>
    <w:rsid w:val="001F2507"/>
    <w:rsid w:val="001F4A4F"/>
    <w:rsid w:val="001F6AE1"/>
    <w:rsid w:val="001F7010"/>
    <w:rsid w:val="002039AB"/>
    <w:rsid w:val="00203D63"/>
    <w:rsid w:val="002041D2"/>
    <w:rsid w:val="002067A9"/>
    <w:rsid w:val="00206DD2"/>
    <w:rsid w:val="00207AA5"/>
    <w:rsid w:val="00207B05"/>
    <w:rsid w:val="00211CAB"/>
    <w:rsid w:val="0021375A"/>
    <w:rsid w:val="002144B0"/>
    <w:rsid w:val="00214EA0"/>
    <w:rsid w:val="00215F08"/>
    <w:rsid w:val="00220CA4"/>
    <w:rsid w:val="00226C1E"/>
    <w:rsid w:val="00227D57"/>
    <w:rsid w:val="00231E8C"/>
    <w:rsid w:val="002328E5"/>
    <w:rsid w:val="002341C4"/>
    <w:rsid w:val="00234880"/>
    <w:rsid w:val="0023515E"/>
    <w:rsid w:val="00235D23"/>
    <w:rsid w:val="002400A3"/>
    <w:rsid w:val="00241F45"/>
    <w:rsid w:val="00241FD1"/>
    <w:rsid w:val="00242C60"/>
    <w:rsid w:val="00244B5C"/>
    <w:rsid w:val="00244F5E"/>
    <w:rsid w:val="002503F0"/>
    <w:rsid w:val="00252CE4"/>
    <w:rsid w:val="002532BC"/>
    <w:rsid w:val="00253607"/>
    <w:rsid w:val="002536C9"/>
    <w:rsid w:val="002540D3"/>
    <w:rsid w:val="00254E71"/>
    <w:rsid w:val="002637A2"/>
    <w:rsid w:val="00264BC1"/>
    <w:rsid w:val="002673B1"/>
    <w:rsid w:val="00271D7F"/>
    <w:rsid w:val="002728C1"/>
    <w:rsid w:val="00272A38"/>
    <w:rsid w:val="00273490"/>
    <w:rsid w:val="0027350D"/>
    <w:rsid w:val="0027354D"/>
    <w:rsid w:val="002750F6"/>
    <w:rsid w:val="00275F34"/>
    <w:rsid w:val="00277A7B"/>
    <w:rsid w:val="0028126C"/>
    <w:rsid w:val="00281965"/>
    <w:rsid w:val="00284500"/>
    <w:rsid w:val="00286678"/>
    <w:rsid w:val="00286C20"/>
    <w:rsid w:val="00287547"/>
    <w:rsid w:val="002936F6"/>
    <w:rsid w:val="00293DC7"/>
    <w:rsid w:val="00295B0B"/>
    <w:rsid w:val="00297180"/>
    <w:rsid w:val="002978D0"/>
    <w:rsid w:val="00297B41"/>
    <w:rsid w:val="002A053B"/>
    <w:rsid w:val="002A1844"/>
    <w:rsid w:val="002A27C0"/>
    <w:rsid w:val="002A4E7D"/>
    <w:rsid w:val="002A4F8C"/>
    <w:rsid w:val="002A6417"/>
    <w:rsid w:val="002B10A4"/>
    <w:rsid w:val="002B2644"/>
    <w:rsid w:val="002C385D"/>
    <w:rsid w:val="002C392F"/>
    <w:rsid w:val="002C4160"/>
    <w:rsid w:val="002C42AC"/>
    <w:rsid w:val="002C451D"/>
    <w:rsid w:val="002C4FAF"/>
    <w:rsid w:val="002D035B"/>
    <w:rsid w:val="002D14EC"/>
    <w:rsid w:val="002D1B36"/>
    <w:rsid w:val="002D2386"/>
    <w:rsid w:val="002D27BB"/>
    <w:rsid w:val="002D3F68"/>
    <w:rsid w:val="002D4DFD"/>
    <w:rsid w:val="002D72A9"/>
    <w:rsid w:val="002D77E5"/>
    <w:rsid w:val="002E2CE9"/>
    <w:rsid w:val="002E5816"/>
    <w:rsid w:val="002E6A09"/>
    <w:rsid w:val="002E7A1F"/>
    <w:rsid w:val="002F03DB"/>
    <w:rsid w:val="002F20AF"/>
    <w:rsid w:val="002F4FE5"/>
    <w:rsid w:val="002F5C0B"/>
    <w:rsid w:val="002F6DAD"/>
    <w:rsid w:val="0030163E"/>
    <w:rsid w:val="0030291E"/>
    <w:rsid w:val="00303377"/>
    <w:rsid w:val="003061F3"/>
    <w:rsid w:val="003064C5"/>
    <w:rsid w:val="0030739E"/>
    <w:rsid w:val="00311C39"/>
    <w:rsid w:val="00311D09"/>
    <w:rsid w:val="00312F48"/>
    <w:rsid w:val="00314F16"/>
    <w:rsid w:val="00315996"/>
    <w:rsid w:val="00316FBE"/>
    <w:rsid w:val="00317386"/>
    <w:rsid w:val="00317A88"/>
    <w:rsid w:val="00317B21"/>
    <w:rsid w:val="00320C39"/>
    <w:rsid w:val="003227E9"/>
    <w:rsid w:val="00322AFB"/>
    <w:rsid w:val="0032403C"/>
    <w:rsid w:val="003240C7"/>
    <w:rsid w:val="003240D1"/>
    <w:rsid w:val="00325AED"/>
    <w:rsid w:val="00326484"/>
    <w:rsid w:val="00330B46"/>
    <w:rsid w:val="00330D10"/>
    <w:rsid w:val="003318D4"/>
    <w:rsid w:val="00331A7B"/>
    <w:rsid w:val="00332ABD"/>
    <w:rsid w:val="0033326B"/>
    <w:rsid w:val="003334A6"/>
    <w:rsid w:val="00334A1B"/>
    <w:rsid w:val="003350CD"/>
    <w:rsid w:val="0033723D"/>
    <w:rsid w:val="0034315B"/>
    <w:rsid w:val="00344563"/>
    <w:rsid w:val="00344B54"/>
    <w:rsid w:val="003465D3"/>
    <w:rsid w:val="003477BE"/>
    <w:rsid w:val="00352DA6"/>
    <w:rsid w:val="00355ED7"/>
    <w:rsid w:val="00361AE4"/>
    <w:rsid w:val="00361DFA"/>
    <w:rsid w:val="003640E4"/>
    <w:rsid w:val="00365EF0"/>
    <w:rsid w:val="00367A2D"/>
    <w:rsid w:val="00370D21"/>
    <w:rsid w:val="00371DED"/>
    <w:rsid w:val="00372762"/>
    <w:rsid w:val="00373C27"/>
    <w:rsid w:val="003744A8"/>
    <w:rsid w:val="00375900"/>
    <w:rsid w:val="0037598F"/>
    <w:rsid w:val="0037793F"/>
    <w:rsid w:val="0038117A"/>
    <w:rsid w:val="003827F9"/>
    <w:rsid w:val="00383544"/>
    <w:rsid w:val="003859C3"/>
    <w:rsid w:val="00386F04"/>
    <w:rsid w:val="003877B1"/>
    <w:rsid w:val="00390F5E"/>
    <w:rsid w:val="003912B9"/>
    <w:rsid w:val="00392F21"/>
    <w:rsid w:val="00394FEF"/>
    <w:rsid w:val="0039666E"/>
    <w:rsid w:val="00397985"/>
    <w:rsid w:val="003A1DB0"/>
    <w:rsid w:val="003A32BD"/>
    <w:rsid w:val="003A4275"/>
    <w:rsid w:val="003A4A7F"/>
    <w:rsid w:val="003A56E0"/>
    <w:rsid w:val="003A5C3E"/>
    <w:rsid w:val="003A6DF6"/>
    <w:rsid w:val="003B0AEE"/>
    <w:rsid w:val="003B0BD9"/>
    <w:rsid w:val="003B0FA8"/>
    <w:rsid w:val="003B1B70"/>
    <w:rsid w:val="003B1E5C"/>
    <w:rsid w:val="003B549F"/>
    <w:rsid w:val="003B59CB"/>
    <w:rsid w:val="003B5CD1"/>
    <w:rsid w:val="003B6E14"/>
    <w:rsid w:val="003B71F4"/>
    <w:rsid w:val="003B795C"/>
    <w:rsid w:val="003C03D7"/>
    <w:rsid w:val="003C151B"/>
    <w:rsid w:val="003C206C"/>
    <w:rsid w:val="003C2631"/>
    <w:rsid w:val="003C2E21"/>
    <w:rsid w:val="003C4C0D"/>
    <w:rsid w:val="003C7130"/>
    <w:rsid w:val="003D06DC"/>
    <w:rsid w:val="003D0BCA"/>
    <w:rsid w:val="003D1A65"/>
    <w:rsid w:val="003D1B0F"/>
    <w:rsid w:val="003D2EAC"/>
    <w:rsid w:val="003D3956"/>
    <w:rsid w:val="003D4159"/>
    <w:rsid w:val="003D4F6D"/>
    <w:rsid w:val="003D6787"/>
    <w:rsid w:val="003D6A03"/>
    <w:rsid w:val="003D6A08"/>
    <w:rsid w:val="003E0741"/>
    <w:rsid w:val="003E4662"/>
    <w:rsid w:val="003E488F"/>
    <w:rsid w:val="003E4C3A"/>
    <w:rsid w:val="003E7A17"/>
    <w:rsid w:val="003F10BF"/>
    <w:rsid w:val="003F1B9E"/>
    <w:rsid w:val="003F74EF"/>
    <w:rsid w:val="004006CA"/>
    <w:rsid w:val="0040070E"/>
    <w:rsid w:val="004008AE"/>
    <w:rsid w:val="00401B93"/>
    <w:rsid w:val="004023C3"/>
    <w:rsid w:val="00403302"/>
    <w:rsid w:val="00404917"/>
    <w:rsid w:val="004073DA"/>
    <w:rsid w:val="00410213"/>
    <w:rsid w:val="00411035"/>
    <w:rsid w:val="00411DD8"/>
    <w:rsid w:val="0041240A"/>
    <w:rsid w:val="0041556D"/>
    <w:rsid w:val="004179BF"/>
    <w:rsid w:val="00417E5D"/>
    <w:rsid w:val="00421369"/>
    <w:rsid w:val="004219CC"/>
    <w:rsid w:val="00421E06"/>
    <w:rsid w:val="00422167"/>
    <w:rsid w:val="0042465E"/>
    <w:rsid w:val="004253AC"/>
    <w:rsid w:val="00425456"/>
    <w:rsid w:val="00426427"/>
    <w:rsid w:val="004324D2"/>
    <w:rsid w:val="00432EDB"/>
    <w:rsid w:val="004336B2"/>
    <w:rsid w:val="00434299"/>
    <w:rsid w:val="004344EC"/>
    <w:rsid w:val="00434ED8"/>
    <w:rsid w:val="00434FF8"/>
    <w:rsid w:val="004360AF"/>
    <w:rsid w:val="004360F8"/>
    <w:rsid w:val="00436549"/>
    <w:rsid w:val="00436E81"/>
    <w:rsid w:val="004373C7"/>
    <w:rsid w:val="00437811"/>
    <w:rsid w:val="00437A96"/>
    <w:rsid w:val="00440357"/>
    <w:rsid w:val="00440983"/>
    <w:rsid w:val="00443064"/>
    <w:rsid w:val="00444378"/>
    <w:rsid w:val="00444A86"/>
    <w:rsid w:val="00447DF7"/>
    <w:rsid w:val="00450080"/>
    <w:rsid w:val="0045251B"/>
    <w:rsid w:val="0045331F"/>
    <w:rsid w:val="00453A8A"/>
    <w:rsid w:val="00453D8D"/>
    <w:rsid w:val="00454F3A"/>
    <w:rsid w:val="00455346"/>
    <w:rsid w:val="0045575F"/>
    <w:rsid w:val="00455A68"/>
    <w:rsid w:val="00460F41"/>
    <w:rsid w:val="00461061"/>
    <w:rsid w:val="0046157B"/>
    <w:rsid w:val="004626DC"/>
    <w:rsid w:val="004634C6"/>
    <w:rsid w:val="00463A7F"/>
    <w:rsid w:val="00463E3C"/>
    <w:rsid w:val="00464053"/>
    <w:rsid w:val="00467522"/>
    <w:rsid w:val="004714E7"/>
    <w:rsid w:val="00472BB6"/>
    <w:rsid w:val="00473D07"/>
    <w:rsid w:val="00477023"/>
    <w:rsid w:val="00483A98"/>
    <w:rsid w:val="004868B6"/>
    <w:rsid w:val="00486E3D"/>
    <w:rsid w:val="00490535"/>
    <w:rsid w:val="00490EAA"/>
    <w:rsid w:val="00491C6A"/>
    <w:rsid w:val="004927D2"/>
    <w:rsid w:val="00494C8C"/>
    <w:rsid w:val="004960F1"/>
    <w:rsid w:val="004973FE"/>
    <w:rsid w:val="00497681"/>
    <w:rsid w:val="00497BA5"/>
    <w:rsid w:val="004A06F2"/>
    <w:rsid w:val="004A0804"/>
    <w:rsid w:val="004A2FBB"/>
    <w:rsid w:val="004A46FB"/>
    <w:rsid w:val="004A57C3"/>
    <w:rsid w:val="004A5E0E"/>
    <w:rsid w:val="004A69DF"/>
    <w:rsid w:val="004A73BF"/>
    <w:rsid w:val="004B0EEE"/>
    <w:rsid w:val="004B12BE"/>
    <w:rsid w:val="004B13DC"/>
    <w:rsid w:val="004B3262"/>
    <w:rsid w:val="004C0DFF"/>
    <w:rsid w:val="004C1621"/>
    <w:rsid w:val="004C40D3"/>
    <w:rsid w:val="004C4F81"/>
    <w:rsid w:val="004C6421"/>
    <w:rsid w:val="004C7B6B"/>
    <w:rsid w:val="004D1040"/>
    <w:rsid w:val="004D2004"/>
    <w:rsid w:val="004D3B55"/>
    <w:rsid w:val="004D6640"/>
    <w:rsid w:val="004D6D37"/>
    <w:rsid w:val="004D7248"/>
    <w:rsid w:val="004D733A"/>
    <w:rsid w:val="004E236B"/>
    <w:rsid w:val="004E3656"/>
    <w:rsid w:val="004E3D44"/>
    <w:rsid w:val="004E4EB2"/>
    <w:rsid w:val="004E65FE"/>
    <w:rsid w:val="004E6B72"/>
    <w:rsid w:val="004F082C"/>
    <w:rsid w:val="004F223C"/>
    <w:rsid w:val="004F75CB"/>
    <w:rsid w:val="005010E1"/>
    <w:rsid w:val="00504E2D"/>
    <w:rsid w:val="0050516E"/>
    <w:rsid w:val="005100B7"/>
    <w:rsid w:val="0051019C"/>
    <w:rsid w:val="0051026E"/>
    <w:rsid w:val="00511E78"/>
    <w:rsid w:val="00512319"/>
    <w:rsid w:val="00512AF5"/>
    <w:rsid w:val="005140F7"/>
    <w:rsid w:val="00517229"/>
    <w:rsid w:val="0051726D"/>
    <w:rsid w:val="005172BB"/>
    <w:rsid w:val="00520DAA"/>
    <w:rsid w:val="00520ECA"/>
    <w:rsid w:val="0052177F"/>
    <w:rsid w:val="0052512F"/>
    <w:rsid w:val="005251AD"/>
    <w:rsid w:val="00526499"/>
    <w:rsid w:val="00526B53"/>
    <w:rsid w:val="005278A3"/>
    <w:rsid w:val="00531B97"/>
    <w:rsid w:val="00533A9C"/>
    <w:rsid w:val="00536C36"/>
    <w:rsid w:val="00537576"/>
    <w:rsid w:val="00540BA4"/>
    <w:rsid w:val="00542D95"/>
    <w:rsid w:val="00542F28"/>
    <w:rsid w:val="00544F9F"/>
    <w:rsid w:val="0054644F"/>
    <w:rsid w:val="00550333"/>
    <w:rsid w:val="005508B4"/>
    <w:rsid w:val="00551642"/>
    <w:rsid w:val="00553705"/>
    <w:rsid w:val="005537A1"/>
    <w:rsid w:val="0055390F"/>
    <w:rsid w:val="005553DE"/>
    <w:rsid w:val="00557562"/>
    <w:rsid w:val="00557C28"/>
    <w:rsid w:val="005600DA"/>
    <w:rsid w:val="005601C0"/>
    <w:rsid w:val="0056142A"/>
    <w:rsid w:val="005618D2"/>
    <w:rsid w:val="00572AA8"/>
    <w:rsid w:val="00573447"/>
    <w:rsid w:val="00574FC3"/>
    <w:rsid w:val="005779FB"/>
    <w:rsid w:val="00577B7B"/>
    <w:rsid w:val="0058165E"/>
    <w:rsid w:val="005822F6"/>
    <w:rsid w:val="005827E4"/>
    <w:rsid w:val="00582D3D"/>
    <w:rsid w:val="005875B3"/>
    <w:rsid w:val="005904FB"/>
    <w:rsid w:val="005908B8"/>
    <w:rsid w:val="00590B5C"/>
    <w:rsid w:val="00592DB2"/>
    <w:rsid w:val="0059390D"/>
    <w:rsid w:val="00594DF9"/>
    <w:rsid w:val="00595AF7"/>
    <w:rsid w:val="00596A7B"/>
    <w:rsid w:val="00596C5D"/>
    <w:rsid w:val="00597B1C"/>
    <w:rsid w:val="005A0BCC"/>
    <w:rsid w:val="005A259E"/>
    <w:rsid w:val="005A2677"/>
    <w:rsid w:val="005A299E"/>
    <w:rsid w:val="005A2D29"/>
    <w:rsid w:val="005A2F25"/>
    <w:rsid w:val="005A50D5"/>
    <w:rsid w:val="005A7CCD"/>
    <w:rsid w:val="005B102D"/>
    <w:rsid w:val="005B2735"/>
    <w:rsid w:val="005B2823"/>
    <w:rsid w:val="005B37D4"/>
    <w:rsid w:val="005B4AA6"/>
    <w:rsid w:val="005B596D"/>
    <w:rsid w:val="005B5C18"/>
    <w:rsid w:val="005B5C3C"/>
    <w:rsid w:val="005B732F"/>
    <w:rsid w:val="005C0374"/>
    <w:rsid w:val="005C0C4B"/>
    <w:rsid w:val="005C1BF6"/>
    <w:rsid w:val="005C1F83"/>
    <w:rsid w:val="005C262E"/>
    <w:rsid w:val="005C297D"/>
    <w:rsid w:val="005C3929"/>
    <w:rsid w:val="005C4FAA"/>
    <w:rsid w:val="005C5464"/>
    <w:rsid w:val="005C64A9"/>
    <w:rsid w:val="005D055B"/>
    <w:rsid w:val="005D1BEA"/>
    <w:rsid w:val="005D7036"/>
    <w:rsid w:val="005D7513"/>
    <w:rsid w:val="005E2910"/>
    <w:rsid w:val="005E5E5E"/>
    <w:rsid w:val="005E752D"/>
    <w:rsid w:val="005F0161"/>
    <w:rsid w:val="005F0ED2"/>
    <w:rsid w:val="005F36E6"/>
    <w:rsid w:val="005F4AA5"/>
    <w:rsid w:val="005F5B1F"/>
    <w:rsid w:val="005F5C43"/>
    <w:rsid w:val="005F5DF1"/>
    <w:rsid w:val="005F68AC"/>
    <w:rsid w:val="005F760C"/>
    <w:rsid w:val="005F7ED1"/>
    <w:rsid w:val="005F7F83"/>
    <w:rsid w:val="00600A0C"/>
    <w:rsid w:val="00602C63"/>
    <w:rsid w:val="0060315B"/>
    <w:rsid w:val="006073FA"/>
    <w:rsid w:val="00607868"/>
    <w:rsid w:val="00610FF9"/>
    <w:rsid w:val="00611B57"/>
    <w:rsid w:val="00611CD7"/>
    <w:rsid w:val="00612CA3"/>
    <w:rsid w:val="00613511"/>
    <w:rsid w:val="00613573"/>
    <w:rsid w:val="00613C89"/>
    <w:rsid w:val="006144B3"/>
    <w:rsid w:val="00614564"/>
    <w:rsid w:val="006155CC"/>
    <w:rsid w:val="00616756"/>
    <w:rsid w:val="00617C82"/>
    <w:rsid w:val="00620E65"/>
    <w:rsid w:val="006212D7"/>
    <w:rsid w:val="00622333"/>
    <w:rsid w:val="00623ABF"/>
    <w:rsid w:val="00623D5E"/>
    <w:rsid w:val="00624911"/>
    <w:rsid w:val="00624C05"/>
    <w:rsid w:val="006254DC"/>
    <w:rsid w:val="00626675"/>
    <w:rsid w:val="006273CA"/>
    <w:rsid w:val="00627DAF"/>
    <w:rsid w:val="00630E2E"/>
    <w:rsid w:val="00631221"/>
    <w:rsid w:val="006340CB"/>
    <w:rsid w:val="00634485"/>
    <w:rsid w:val="006344C8"/>
    <w:rsid w:val="006352B9"/>
    <w:rsid w:val="006354DF"/>
    <w:rsid w:val="00635F0B"/>
    <w:rsid w:val="0063739D"/>
    <w:rsid w:val="00637EAE"/>
    <w:rsid w:val="0064022C"/>
    <w:rsid w:val="006424E5"/>
    <w:rsid w:val="0064345B"/>
    <w:rsid w:val="006500C1"/>
    <w:rsid w:val="0065018E"/>
    <w:rsid w:val="00652A76"/>
    <w:rsid w:val="006555EA"/>
    <w:rsid w:val="00655AFC"/>
    <w:rsid w:val="00656BE4"/>
    <w:rsid w:val="00657B30"/>
    <w:rsid w:val="0066093F"/>
    <w:rsid w:val="00661CF7"/>
    <w:rsid w:val="006620AD"/>
    <w:rsid w:val="006647BC"/>
    <w:rsid w:val="00664A62"/>
    <w:rsid w:val="006664DC"/>
    <w:rsid w:val="00666583"/>
    <w:rsid w:val="00673664"/>
    <w:rsid w:val="00673C62"/>
    <w:rsid w:val="00673F2D"/>
    <w:rsid w:val="00674000"/>
    <w:rsid w:val="006756A1"/>
    <w:rsid w:val="00676348"/>
    <w:rsid w:val="00676659"/>
    <w:rsid w:val="00677130"/>
    <w:rsid w:val="00681B82"/>
    <w:rsid w:val="00682393"/>
    <w:rsid w:val="0068291D"/>
    <w:rsid w:val="00682A70"/>
    <w:rsid w:val="00683046"/>
    <w:rsid w:val="006848C0"/>
    <w:rsid w:val="00685158"/>
    <w:rsid w:val="006853EC"/>
    <w:rsid w:val="00685A45"/>
    <w:rsid w:val="00691029"/>
    <w:rsid w:val="006920DE"/>
    <w:rsid w:val="00693DBE"/>
    <w:rsid w:val="0069403B"/>
    <w:rsid w:val="006942CA"/>
    <w:rsid w:val="00697FB7"/>
    <w:rsid w:val="006A02BA"/>
    <w:rsid w:val="006A1563"/>
    <w:rsid w:val="006A4283"/>
    <w:rsid w:val="006A56EE"/>
    <w:rsid w:val="006A5D54"/>
    <w:rsid w:val="006A6462"/>
    <w:rsid w:val="006B0E85"/>
    <w:rsid w:val="006B1C37"/>
    <w:rsid w:val="006B30A2"/>
    <w:rsid w:val="006B4F33"/>
    <w:rsid w:val="006B54A7"/>
    <w:rsid w:val="006B6090"/>
    <w:rsid w:val="006B6273"/>
    <w:rsid w:val="006B6C5E"/>
    <w:rsid w:val="006C086C"/>
    <w:rsid w:val="006C1FC0"/>
    <w:rsid w:val="006C3865"/>
    <w:rsid w:val="006C3ADF"/>
    <w:rsid w:val="006C5C1C"/>
    <w:rsid w:val="006C5D94"/>
    <w:rsid w:val="006C6BC0"/>
    <w:rsid w:val="006C6DA8"/>
    <w:rsid w:val="006D07C0"/>
    <w:rsid w:val="006D0863"/>
    <w:rsid w:val="006D3434"/>
    <w:rsid w:val="006D3633"/>
    <w:rsid w:val="006D6162"/>
    <w:rsid w:val="006D72F9"/>
    <w:rsid w:val="006E1D90"/>
    <w:rsid w:val="006E2D5F"/>
    <w:rsid w:val="006E65E4"/>
    <w:rsid w:val="006E720A"/>
    <w:rsid w:val="006F107E"/>
    <w:rsid w:val="006F2EAD"/>
    <w:rsid w:val="006F5AB6"/>
    <w:rsid w:val="006F61DD"/>
    <w:rsid w:val="006F7A87"/>
    <w:rsid w:val="00700368"/>
    <w:rsid w:val="0070051F"/>
    <w:rsid w:val="00702A49"/>
    <w:rsid w:val="0070503D"/>
    <w:rsid w:val="00705E41"/>
    <w:rsid w:val="00705FF5"/>
    <w:rsid w:val="00706C8C"/>
    <w:rsid w:val="00706E40"/>
    <w:rsid w:val="007103D1"/>
    <w:rsid w:val="00710536"/>
    <w:rsid w:val="007109EF"/>
    <w:rsid w:val="007115CB"/>
    <w:rsid w:val="007120CE"/>
    <w:rsid w:val="0071331A"/>
    <w:rsid w:val="00713C7A"/>
    <w:rsid w:val="00714CB1"/>
    <w:rsid w:val="007167E7"/>
    <w:rsid w:val="00716F0E"/>
    <w:rsid w:val="00721FE8"/>
    <w:rsid w:val="00722CDD"/>
    <w:rsid w:val="00724788"/>
    <w:rsid w:val="007351ED"/>
    <w:rsid w:val="007369C5"/>
    <w:rsid w:val="00741400"/>
    <w:rsid w:val="00745A40"/>
    <w:rsid w:val="0074686D"/>
    <w:rsid w:val="00747A5C"/>
    <w:rsid w:val="0075053E"/>
    <w:rsid w:val="007534C5"/>
    <w:rsid w:val="007542C6"/>
    <w:rsid w:val="00754C1E"/>
    <w:rsid w:val="00755058"/>
    <w:rsid w:val="007569ED"/>
    <w:rsid w:val="007577D0"/>
    <w:rsid w:val="00757E0F"/>
    <w:rsid w:val="00761215"/>
    <w:rsid w:val="00761642"/>
    <w:rsid w:val="00762BFC"/>
    <w:rsid w:val="00767EB6"/>
    <w:rsid w:val="0077093D"/>
    <w:rsid w:val="00770D8C"/>
    <w:rsid w:val="007711DC"/>
    <w:rsid w:val="007712AA"/>
    <w:rsid w:val="0077224E"/>
    <w:rsid w:val="00773FFF"/>
    <w:rsid w:val="007744B0"/>
    <w:rsid w:val="00774981"/>
    <w:rsid w:val="00775AC3"/>
    <w:rsid w:val="007772C3"/>
    <w:rsid w:val="00777966"/>
    <w:rsid w:val="0078172E"/>
    <w:rsid w:val="007822F2"/>
    <w:rsid w:val="00785102"/>
    <w:rsid w:val="007879F9"/>
    <w:rsid w:val="00787DC7"/>
    <w:rsid w:val="00787DCB"/>
    <w:rsid w:val="00790A1E"/>
    <w:rsid w:val="007920E9"/>
    <w:rsid w:val="007936F5"/>
    <w:rsid w:val="00793F03"/>
    <w:rsid w:val="007950E5"/>
    <w:rsid w:val="007960A0"/>
    <w:rsid w:val="007A055F"/>
    <w:rsid w:val="007A189B"/>
    <w:rsid w:val="007A1E00"/>
    <w:rsid w:val="007A242F"/>
    <w:rsid w:val="007A5496"/>
    <w:rsid w:val="007A7952"/>
    <w:rsid w:val="007B0C1B"/>
    <w:rsid w:val="007B22A3"/>
    <w:rsid w:val="007B2EC3"/>
    <w:rsid w:val="007B3A11"/>
    <w:rsid w:val="007B5047"/>
    <w:rsid w:val="007B6B84"/>
    <w:rsid w:val="007B6E6D"/>
    <w:rsid w:val="007C2954"/>
    <w:rsid w:val="007C2BDC"/>
    <w:rsid w:val="007C795A"/>
    <w:rsid w:val="007C7A99"/>
    <w:rsid w:val="007D0634"/>
    <w:rsid w:val="007D2482"/>
    <w:rsid w:val="007D5138"/>
    <w:rsid w:val="007D69A7"/>
    <w:rsid w:val="007D6A5B"/>
    <w:rsid w:val="007D717D"/>
    <w:rsid w:val="007E0458"/>
    <w:rsid w:val="007E182D"/>
    <w:rsid w:val="007E3B82"/>
    <w:rsid w:val="007E4771"/>
    <w:rsid w:val="007E523E"/>
    <w:rsid w:val="007E7B72"/>
    <w:rsid w:val="007E7D24"/>
    <w:rsid w:val="007F29E3"/>
    <w:rsid w:val="007F3198"/>
    <w:rsid w:val="007F4210"/>
    <w:rsid w:val="007F45D9"/>
    <w:rsid w:val="007F4E6C"/>
    <w:rsid w:val="007F5461"/>
    <w:rsid w:val="007F6B2A"/>
    <w:rsid w:val="007F7666"/>
    <w:rsid w:val="007F7988"/>
    <w:rsid w:val="007F7B35"/>
    <w:rsid w:val="0080197A"/>
    <w:rsid w:val="00801EF8"/>
    <w:rsid w:val="00803AE0"/>
    <w:rsid w:val="00804059"/>
    <w:rsid w:val="00804B93"/>
    <w:rsid w:val="008050F8"/>
    <w:rsid w:val="00805F46"/>
    <w:rsid w:val="0081035C"/>
    <w:rsid w:val="008122AA"/>
    <w:rsid w:val="008150D2"/>
    <w:rsid w:val="008157DC"/>
    <w:rsid w:val="0081686A"/>
    <w:rsid w:val="00817275"/>
    <w:rsid w:val="0082028D"/>
    <w:rsid w:val="00820B4A"/>
    <w:rsid w:val="00823AE2"/>
    <w:rsid w:val="00830DEB"/>
    <w:rsid w:val="00832E61"/>
    <w:rsid w:val="008330A9"/>
    <w:rsid w:val="0083591F"/>
    <w:rsid w:val="00836263"/>
    <w:rsid w:val="008369C6"/>
    <w:rsid w:val="00842FCE"/>
    <w:rsid w:val="008439E2"/>
    <w:rsid w:val="00844898"/>
    <w:rsid w:val="00844E66"/>
    <w:rsid w:val="0084519A"/>
    <w:rsid w:val="00847C05"/>
    <w:rsid w:val="008500E6"/>
    <w:rsid w:val="008510AC"/>
    <w:rsid w:val="00853BF8"/>
    <w:rsid w:val="00853E87"/>
    <w:rsid w:val="00855448"/>
    <w:rsid w:val="008606C2"/>
    <w:rsid w:val="008610A8"/>
    <w:rsid w:val="00862C1B"/>
    <w:rsid w:val="00863A90"/>
    <w:rsid w:val="00864523"/>
    <w:rsid w:val="008668C7"/>
    <w:rsid w:val="008738A4"/>
    <w:rsid w:val="00873B8E"/>
    <w:rsid w:val="00874333"/>
    <w:rsid w:val="00875EAA"/>
    <w:rsid w:val="00875EEE"/>
    <w:rsid w:val="00877E40"/>
    <w:rsid w:val="00880BE0"/>
    <w:rsid w:val="00880E7C"/>
    <w:rsid w:val="0088370D"/>
    <w:rsid w:val="0088602B"/>
    <w:rsid w:val="008870CB"/>
    <w:rsid w:val="00887BDF"/>
    <w:rsid w:val="00890D6A"/>
    <w:rsid w:val="00891C44"/>
    <w:rsid w:val="008939B9"/>
    <w:rsid w:val="00894134"/>
    <w:rsid w:val="0089549C"/>
    <w:rsid w:val="00896EBB"/>
    <w:rsid w:val="008A0AAD"/>
    <w:rsid w:val="008A0ECB"/>
    <w:rsid w:val="008A1237"/>
    <w:rsid w:val="008A407E"/>
    <w:rsid w:val="008A6470"/>
    <w:rsid w:val="008A7504"/>
    <w:rsid w:val="008B0EDE"/>
    <w:rsid w:val="008B38D9"/>
    <w:rsid w:val="008B510C"/>
    <w:rsid w:val="008B69AD"/>
    <w:rsid w:val="008C0B31"/>
    <w:rsid w:val="008C0ECB"/>
    <w:rsid w:val="008C151A"/>
    <w:rsid w:val="008C19E8"/>
    <w:rsid w:val="008C2F6D"/>
    <w:rsid w:val="008C5176"/>
    <w:rsid w:val="008C5666"/>
    <w:rsid w:val="008C62C8"/>
    <w:rsid w:val="008C6ECD"/>
    <w:rsid w:val="008D3EAA"/>
    <w:rsid w:val="008D401C"/>
    <w:rsid w:val="008D476C"/>
    <w:rsid w:val="008D4EE3"/>
    <w:rsid w:val="008D5498"/>
    <w:rsid w:val="008D7EEF"/>
    <w:rsid w:val="008E0CF1"/>
    <w:rsid w:val="008E1A3D"/>
    <w:rsid w:val="008E4F36"/>
    <w:rsid w:val="008F136F"/>
    <w:rsid w:val="008F1694"/>
    <w:rsid w:val="008F26A1"/>
    <w:rsid w:val="008F2920"/>
    <w:rsid w:val="008F333D"/>
    <w:rsid w:val="008F3530"/>
    <w:rsid w:val="008F37AD"/>
    <w:rsid w:val="008F3AD1"/>
    <w:rsid w:val="008F4283"/>
    <w:rsid w:val="008F4310"/>
    <w:rsid w:val="008F6119"/>
    <w:rsid w:val="008F6461"/>
    <w:rsid w:val="00900E56"/>
    <w:rsid w:val="00904311"/>
    <w:rsid w:val="0090556F"/>
    <w:rsid w:val="00905C5A"/>
    <w:rsid w:val="00905E16"/>
    <w:rsid w:val="00906C00"/>
    <w:rsid w:val="0090716C"/>
    <w:rsid w:val="00907C83"/>
    <w:rsid w:val="009106A7"/>
    <w:rsid w:val="00910B5E"/>
    <w:rsid w:val="00911473"/>
    <w:rsid w:val="00911E89"/>
    <w:rsid w:val="00913EE9"/>
    <w:rsid w:val="00915188"/>
    <w:rsid w:val="0091596C"/>
    <w:rsid w:val="00915B3F"/>
    <w:rsid w:val="00917A03"/>
    <w:rsid w:val="00920226"/>
    <w:rsid w:val="0092103E"/>
    <w:rsid w:val="009225DD"/>
    <w:rsid w:val="009242B7"/>
    <w:rsid w:val="00924791"/>
    <w:rsid w:val="00924D3B"/>
    <w:rsid w:val="0092535D"/>
    <w:rsid w:val="0092538A"/>
    <w:rsid w:val="00925866"/>
    <w:rsid w:val="00925E50"/>
    <w:rsid w:val="0092624B"/>
    <w:rsid w:val="009265C0"/>
    <w:rsid w:val="00932716"/>
    <w:rsid w:val="00932B0B"/>
    <w:rsid w:val="009333A9"/>
    <w:rsid w:val="00934C55"/>
    <w:rsid w:val="009365DA"/>
    <w:rsid w:val="009373B4"/>
    <w:rsid w:val="0094080C"/>
    <w:rsid w:val="00940E59"/>
    <w:rsid w:val="00940EF1"/>
    <w:rsid w:val="00942206"/>
    <w:rsid w:val="00943162"/>
    <w:rsid w:val="00943CF1"/>
    <w:rsid w:val="00943E39"/>
    <w:rsid w:val="00944B2E"/>
    <w:rsid w:val="0094538B"/>
    <w:rsid w:val="0094545D"/>
    <w:rsid w:val="00945CBC"/>
    <w:rsid w:val="00946D2E"/>
    <w:rsid w:val="00947F3C"/>
    <w:rsid w:val="0095084A"/>
    <w:rsid w:val="00950FBF"/>
    <w:rsid w:val="00951DA0"/>
    <w:rsid w:val="00952E17"/>
    <w:rsid w:val="00954C50"/>
    <w:rsid w:val="00955809"/>
    <w:rsid w:val="00955C79"/>
    <w:rsid w:val="0095660D"/>
    <w:rsid w:val="009566DD"/>
    <w:rsid w:val="00961918"/>
    <w:rsid w:val="009625A9"/>
    <w:rsid w:val="00964893"/>
    <w:rsid w:val="00967536"/>
    <w:rsid w:val="00970933"/>
    <w:rsid w:val="00970F76"/>
    <w:rsid w:val="00971B11"/>
    <w:rsid w:val="00972BEC"/>
    <w:rsid w:val="009745AB"/>
    <w:rsid w:val="00977081"/>
    <w:rsid w:val="00980525"/>
    <w:rsid w:val="00980AF1"/>
    <w:rsid w:val="00982E3D"/>
    <w:rsid w:val="0098550E"/>
    <w:rsid w:val="009863AC"/>
    <w:rsid w:val="0098785B"/>
    <w:rsid w:val="00990079"/>
    <w:rsid w:val="00994E6B"/>
    <w:rsid w:val="009968C7"/>
    <w:rsid w:val="009A12EE"/>
    <w:rsid w:val="009A719B"/>
    <w:rsid w:val="009A7C56"/>
    <w:rsid w:val="009A7E1C"/>
    <w:rsid w:val="009A7F8F"/>
    <w:rsid w:val="009B1BB9"/>
    <w:rsid w:val="009B3291"/>
    <w:rsid w:val="009B5A22"/>
    <w:rsid w:val="009B5B14"/>
    <w:rsid w:val="009B5CF2"/>
    <w:rsid w:val="009B6AB5"/>
    <w:rsid w:val="009B6C41"/>
    <w:rsid w:val="009C0D60"/>
    <w:rsid w:val="009C0E9F"/>
    <w:rsid w:val="009C2A58"/>
    <w:rsid w:val="009C32A9"/>
    <w:rsid w:val="009C56A9"/>
    <w:rsid w:val="009C58A0"/>
    <w:rsid w:val="009C6611"/>
    <w:rsid w:val="009C7D95"/>
    <w:rsid w:val="009D122F"/>
    <w:rsid w:val="009D270A"/>
    <w:rsid w:val="009D3A99"/>
    <w:rsid w:val="009D3B5D"/>
    <w:rsid w:val="009D4B78"/>
    <w:rsid w:val="009D7468"/>
    <w:rsid w:val="009E103B"/>
    <w:rsid w:val="009E1319"/>
    <w:rsid w:val="009E37F6"/>
    <w:rsid w:val="009E6F2E"/>
    <w:rsid w:val="009F0982"/>
    <w:rsid w:val="009F0F9E"/>
    <w:rsid w:val="009F1D35"/>
    <w:rsid w:val="009F22D7"/>
    <w:rsid w:val="009F2D69"/>
    <w:rsid w:val="009F44A3"/>
    <w:rsid w:val="009F4953"/>
    <w:rsid w:val="009F62E0"/>
    <w:rsid w:val="00A001EC"/>
    <w:rsid w:val="00A00611"/>
    <w:rsid w:val="00A006F2"/>
    <w:rsid w:val="00A01922"/>
    <w:rsid w:val="00A01FD2"/>
    <w:rsid w:val="00A03CFD"/>
    <w:rsid w:val="00A047B6"/>
    <w:rsid w:val="00A04FE0"/>
    <w:rsid w:val="00A06B90"/>
    <w:rsid w:val="00A10B9D"/>
    <w:rsid w:val="00A11536"/>
    <w:rsid w:val="00A1275A"/>
    <w:rsid w:val="00A13DAA"/>
    <w:rsid w:val="00A14506"/>
    <w:rsid w:val="00A15106"/>
    <w:rsid w:val="00A1556F"/>
    <w:rsid w:val="00A16BFC"/>
    <w:rsid w:val="00A1739E"/>
    <w:rsid w:val="00A244EE"/>
    <w:rsid w:val="00A25039"/>
    <w:rsid w:val="00A25792"/>
    <w:rsid w:val="00A258FC"/>
    <w:rsid w:val="00A25969"/>
    <w:rsid w:val="00A27784"/>
    <w:rsid w:val="00A324F8"/>
    <w:rsid w:val="00A32F40"/>
    <w:rsid w:val="00A32FB6"/>
    <w:rsid w:val="00A3302D"/>
    <w:rsid w:val="00A33853"/>
    <w:rsid w:val="00A339F3"/>
    <w:rsid w:val="00A342AA"/>
    <w:rsid w:val="00A36722"/>
    <w:rsid w:val="00A4073C"/>
    <w:rsid w:val="00A45C23"/>
    <w:rsid w:val="00A47792"/>
    <w:rsid w:val="00A51914"/>
    <w:rsid w:val="00A51D07"/>
    <w:rsid w:val="00A558C3"/>
    <w:rsid w:val="00A558F8"/>
    <w:rsid w:val="00A559D6"/>
    <w:rsid w:val="00A56A52"/>
    <w:rsid w:val="00A56EF3"/>
    <w:rsid w:val="00A5741C"/>
    <w:rsid w:val="00A62304"/>
    <w:rsid w:val="00A630FC"/>
    <w:rsid w:val="00A633F8"/>
    <w:rsid w:val="00A676A2"/>
    <w:rsid w:val="00A67D9B"/>
    <w:rsid w:val="00A76A50"/>
    <w:rsid w:val="00A773D3"/>
    <w:rsid w:val="00A778CC"/>
    <w:rsid w:val="00A80F39"/>
    <w:rsid w:val="00A81010"/>
    <w:rsid w:val="00A81678"/>
    <w:rsid w:val="00A82E5C"/>
    <w:rsid w:val="00A833FA"/>
    <w:rsid w:val="00A84570"/>
    <w:rsid w:val="00A8595E"/>
    <w:rsid w:val="00A861D2"/>
    <w:rsid w:val="00A90A59"/>
    <w:rsid w:val="00A95AE9"/>
    <w:rsid w:val="00A960EE"/>
    <w:rsid w:val="00A96670"/>
    <w:rsid w:val="00A969FF"/>
    <w:rsid w:val="00A97A2F"/>
    <w:rsid w:val="00AA205B"/>
    <w:rsid w:val="00AA2FF8"/>
    <w:rsid w:val="00AA37BE"/>
    <w:rsid w:val="00AA47B9"/>
    <w:rsid w:val="00AA57DD"/>
    <w:rsid w:val="00AA6633"/>
    <w:rsid w:val="00AA6977"/>
    <w:rsid w:val="00AA6ACF"/>
    <w:rsid w:val="00AA6D3C"/>
    <w:rsid w:val="00AA7377"/>
    <w:rsid w:val="00AA7DA9"/>
    <w:rsid w:val="00AB00A6"/>
    <w:rsid w:val="00AB05CB"/>
    <w:rsid w:val="00AB072A"/>
    <w:rsid w:val="00AB0820"/>
    <w:rsid w:val="00AB1E05"/>
    <w:rsid w:val="00AB2A51"/>
    <w:rsid w:val="00AB2B61"/>
    <w:rsid w:val="00AB4DA6"/>
    <w:rsid w:val="00AC0E93"/>
    <w:rsid w:val="00AC10A7"/>
    <w:rsid w:val="00AC190F"/>
    <w:rsid w:val="00AC1A35"/>
    <w:rsid w:val="00AC1D9D"/>
    <w:rsid w:val="00AC25C2"/>
    <w:rsid w:val="00AC3D6A"/>
    <w:rsid w:val="00AC3DCE"/>
    <w:rsid w:val="00AC41FC"/>
    <w:rsid w:val="00AC547B"/>
    <w:rsid w:val="00AC694F"/>
    <w:rsid w:val="00AC6A5A"/>
    <w:rsid w:val="00AC7C1F"/>
    <w:rsid w:val="00AD047B"/>
    <w:rsid w:val="00AD0F5B"/>
    <w:rsid w:val="00AD102C"/>
    <w:rsid w:val="00AD2F00"/>
    <w:rsid w:val="00AD556B"/>
    <w:rsid w:val="00AD55E0"/>
    <w:rsid w:val="00AD67F2"/>
    <w:rsid w:val="00AD6E4E"/>
    <w:rsid w:val="00AE00FD"/>
    <w:rsid w:val="00AE1475"/>
    <w:rsid w:val="00AE1B9C"/>
    <w:rsid w:val="00AE3EE1"/>
    <w:rsid w:val="00AE5B4F"/>
    <w:rsid w:val="00AE72B4"/>
    <w:rsid w:val="00AF22E2"/>
    <w:rsid w:val="00AF3B17"/>
    <w:rsid w:val="00AF55DE"/>
    <w:rsid w:val="00AF61D8"/>
    <w:rsid w:val="00AF6565"/>
    <w:rsid w:val="00AF6631"/>
    <w:rsid w:val="00AF7EC3"/>
    <w:rsid w:val="00B00D5E"/>
    <w:rsid w:val="00B01339"/>
    <w:rsid w:val="00B01E7A"/>
    <w:rsid w:val="00B026BE"/>
    <w:rsid w:val="00B02C75"/>
    <w:rsid w:val="00B02ECB"/>
    <w:rsid w:val="00B05797"/>
    <w:rsid w:val="00B07B4D"/>
    <w:rsid w:val="00B07F36"/>
    <w:rsid w:val="00B134F0"/>
    <w:rsid w:val="00B14079"/>
    <w:rsid w:val="00B152C4"/>
    <w:rsid w:val="00B22589"/>
    <w:rsid w:val="00B24B51"/>
    <w:rsid w:val="00B24BD2"/>
    <w:rsid w:val="00B25C5F"/>
    <w:rsid w:val="00B2680C"/>
    <w:rsid w:val="00B26DE2"/>
    <w:rsid w:val="00B30093"/>
    <w:rsid w:val="00B3447D"/>
    <w:rsid w:val="00B35F6A"/>
    <w:rsid w:val="00B368E5"/>
    <w:rsid w:val="00B3718B"/>
    <w:rsid w:val="00B40530"/>
    <w:rsid w:val="00B43897"/>
    <w:rsid w:val="00B442B6"/>
    <w:rsid w:val="00B44F17"/>
    <w:rsid w:val="00B4573C"/>
    <w:rsid w:val="00B50A87"/>
    <w:rsid w:val="00B533A2"/>
    <w:rsid w:val="00B575E5"/>
    <w:rsid w:val="00B579B6"/>
    <w:rsid w:val="00B57F85"/>
    <w:rsid w:val="00B60856"/>
    <w:rsid w:val="00B6168C"/>
    <w:rsid w:val="00B61965"/>
    <w:rsid w:val="00B63605"/>
    <w:rsid w:val="00B6476F"/>
    <w:rsid w:val="00B67655"/>
    <w:rsid w:val="00B721F9"/>
    <w:rsid w:val="00B756B9"/>
    <w:rsid w:val="00B75B66"/>
    <w:rsid w:val="00B7602A"/>
    <w:rsid w:val="00B81EDB"/>
    <w:rsid w:val="00B82E0D"/>
    <w:rsid w:val="00B82E40"/>
    <w:rsid w:val="00B836EF"/>
    <w:rsid w:val="00B852FD"/>
    <w:rsid w:val="00B85EFC"/>
    <w:rsid w:val="00B900AB"/>
    <w:rsid w:val="00B90935"/>
    <w:rsid w:val="00B90C67"/>
    <w:rsid w:val="00B9139C"/>
    <w:rsid w:val="00B94FCF"/>
    <w:rsid w:val="00B95882"/>
    <w:rsid w:val="00B9623A"/>
    <w:rsid w:val="00B9627D"/>
    <w:rsid w:val="00B968EB"/>
    <w:rsid w:val="00BA1605"/>
    <w:rsid w:val="00BA2C47"/>
    <w:rsid w:val="00BA4447"/>
    <w:rsid w:val="00BA5200"/>
    <w:rsid w:val="00BA5CA5"/>
    <w:rsid w:val="00BB0BA9"/>
    <w:rsid w:val="00BB2A46"/>
    <w:rsid w:val="00BB583D"/>
    <w:rsid w:val="00BB67C6"/>
    <w:rsid w:val="00BB6A2F"/>
    <w:rsid w:val="00BB6AC8"/>
    <w:rsid w:val="00BB76F7"/>
    <w:rsid w:val="00BB7CF5"/>
    <w:rsid w:val="00BC0272"/>
    <w:rsid w:val="00BC1586"/>
    <w:rsid w:val="00BC1C66"/>
    <w:rsid w:val="00BE05DC"/>
    <w:rsid w:val="00BE30DF"/>
    <w:rsid w:val="00BE35E1"/>
    <w:rsid w:val="00BE5340"/>
    <w:rsid w:val="00BE6E43"/>
    <w:rsid w:val="00BF1FE2"/>
    <w:rsid w:val="00BF2D91"/>
    <w:rsid w:val="00BF557C"/>
    <w:rsid w:val="00BF6CA1"/>
    <w:rsid w:val="00BF79D8"/>
    <w:rsid w:val="00C0437E"/>
    <w:rsid w:val="00C04703"/>
    <w:rsid w:val="00C05716"/>
    <w:rsid w:val="00C05CA1"/>
    <w:rsid w:val="00C07E9B"/>
    <w:rsid w:val="00C12A9C"/>
    <w:rsid w:val="00C12D0F"/>
    <w:rsid w:val="00C14D51"/>
    <w:rsid w:val="00C151D6"/>
    <w:rsid w:val="00C16AD8"/>
    <w:rsid w:val="00C17CFE"/>
    <w:rsid w:val="00C17F80"/>
    <w:rsid w:val="00C17FF3"/>
    <w:rsid w:val="00C20FF5"/>
    <w:rsid w:val="00C21A6E"/>
    <w:rsid w:val="00C21DA3"/>
    <w:rsid w:val="00C21DBC"/>
    <w:rsid w:val="00C229E0"/>
    <w:rsid w:val="00C24891"/>
    <w:rsid w:val="00C25C36"/>
    <w:rsid w:val="00C27E69"/>
    <w:rsid w:val="00C33248"/>
    <w:rsid w:val="00C340FE"/>
    <w:rsid w:val="00C3536E"/>
    <w:rsid w:val="00C36F6B"/>
    <w:rsid w:val="00C4120A"/>
    <w:rsid w:val="00C42A34"/>
    <w:rsid w:val="00C43476"/>
    <w:rsid w:val="00C43579"/>
    <w:rsid w:val="00C43E6C"/>
    <w:rsid w:val="00C45B11"/>
    <w:rsid w:val="00C46553"/>
    <w:rsid w:val="00C47830"/>
    <w:rsid w:val="00C50897"/>
    <w:rsid w:val="00C50D47"/>
    <w:rsid w:val="00C51CA1"/>
    <w:rsid w:val="00C51CFA"/>
    <w:rsid w:val="00C53E88"/>
    <w:rsid w:val="00C53F15"/>
    <w:rsid w:val="00C56929"/>
    <w:rsid w:val="00C56D29"/>
    <w:rsid w:val="00C57044"/>
    <w:rsid w:val="00C61786"/>
    <w:rsid w:val="00C61882"/>
    <w:rsid w:val="00C62173"/>
    <w:rsid w:val="00C62591"/>
    <w:rsid w:val="00C629F2"/>
    <w:rsid w:val="00C62AAB"/>
    <w:rsid w:val="00C63927"/>
    <w:rsid w:val="00C6440A"/>
    <w:rsid w:val="00C65194"/>
    <w:rsid w:val="00C665EA"/>
    <w:rsid w:val="00C70B48"/>
    <w:rsid w:val="00C70C80"/>
    <w:rsid w:val="00C74839"/>
    <w:rsid w:val="00C75884"/>
    <w:rsid w:val="00C7601C"/>
    <w:rsid w:val="00C77E36"/>
    <w:rsid w:val="00C80182"/>
    <w:rsid w:val="00C818BA"/>
    <w:rsid w:val="00C81F58"/>
    <w:rsid w:val="00C823ED"/>
    <w:rsid w:val="00C825E7"/>
    <w:rsid w:val="00C83029"/>
    <w:rsid w:val="00C860A9"/>
    <w:rsid w:val="00C86B57"/>
    <w:rsid w:val="00C86C3D"/>
    <w:rsid w:val="00C90220"/>
    <w:rsid w:val="00C90F10"/>
    <w:rsid w:val="00C90F16"/>
    <w:rsid w:val="00C92C6B"/>
    <w:rsid w:val="00C9603B"/>
    <w:rsid w:val="00CA0E73"/>
    <w:rsid w:val="00CA13BD"/>
    <w:rsid w:val="00CA16D0"/>
    <w:rsid w:val="00CA2B70"/>
    <w:rsid w:val="00CA2E0C"/>
    <w:rsid w:val="00CA7AEA"/>
    <w:rsid w:val="00CB0E5A"/>
    <w:rsid w:val="00CB1E3A"/>
    <w:rsid w:val="00CB3AF8"/>
    <w:rsid w:val="00CB44CB"/>
    <w:rsid w:val="00CB5920"/>
    <w:rsid w:val="00CB5B5D"/>
    <w:rsid w:val="00CB5E1F"/>
    <w:rsid w:val="00CC0831"/>
    <w:rsid w:val="00CC2166"/>
    <w:rsid w:val="00CC21ED"/>
    <w:rsid w:val="00CC29DF"/>
    <w:rsid w:val="00CC3137"/>
    <w:rsid w:val="00CC3D89"/>
    <w:rsid w:val="00CC4BFC"/>
    <w:rsid w:val="00CC4D9A"/>
    <w:rsid w:val="00CC6077"/>
    <w:rsid w:val="00CC6199"/>
    <w:rsid w:val="00CC6C5D"/>
    <w:rsid w:val="00CC6D75"/>
    <w:rsid w:val="00CC7573"/>
    <w:rsid w:val="00CD06AC"/>
    <w:rsid w:val="00CD17C9"/>
    <w:rsid w:val="00CD3F9D"/>
    <w:rsid w:val="00CD49A7"/>
    <w:rsid w:val="00CD4BDA"/>
    <w:rsid w:val="00CD5D2C"/>
    <w:rsid w:val="00CD68DF"/>
    <w:rsid w:val="00CD74CF"/>
    <w:rsid w:val="00CE0A76"/>
    <w:rsid w:val="00CE190B"/>
    <w:rsid w:val="00CE46A4"/>
    <w:rsid w:val="00CE6B6E"/>
    <w:rsid w:val="00CF088A"/>
    <w:rsid w:val="00CF08D6"/>
    <w:rsid w:val="00CF0D80"/>
    <w:rsid w:val="00CF192F"/>
    <w:rsid w:val="00CF2178"/>
    <w:rsid w:val="00CF2B9F"/>
    <w:rsid w:val="00CF3CFF"/>
    <w:rsid w:val="00CF5411"/>
    <w:rsid w:val="00CF5ECD"/>
    <w:rsid w:val="00CF6FB8"/>
    <w:rsid w:val="00CF789F"/>
    <w:rsid w:val="00D011D7"/>
    <w:rsid w:val="00D02A77"/>
    <w:rsid w:val="00D03B3B"/>
    <w:rsid w:val="00D04C8F"/>
    <w:rsid w:val="00D051DD"/>
    <w:rsid w:val="00D0717B"/>
    <w:rsid w:val="00D10D72"/>
    <w:rsid w:val="00D11FDE"/>
    <w:rsid w:val="00D12DD7"/>
    <w:rsid w:val="00D148D7"/>
    <w:rsid w:val="00D17803"/>
    <w:rsid w:val="00D22A6D"/>
    <w:rsid w:val="00D2326E"/>
    <w:rsid w:val="00D23328"/>
    <w:rsid w:val="00D24EED"/>
    <w:rsid w:val="00D27C1B"/>
    <w:rsid w:val="00D27CC6"/>
    <w:rsid w:val="00D313EE"/>
    <w:rsid w:val="00D35D83"/>
    <w:rsid w:val="00D36150"/>
    <w:rsid w:val="00D36E84"/>
    <w:rsid w:val="00D377ED"/>
    <w:rsid w:val="00D408A4"/>
    <w:rsid w:val="00D42503"/>
    <w:rsid w:val="00D43E3B"/>
    <w:rsid w:val="00D449B1"/>
    <w:rsid w:val="00D45EDB"/>
    <w:rsid w:val="00D45EE9"/>
    <w:rsid w:val="00D537AF"/>
    <w:rsid w:val="00D54314"/>
    <w:rsid w:val="00D54615"/>
    <w:rsid w:val="00D56E32"/>
    <w:rsid w:val="00D652B1"/>
    <w:rsid w:val="00D6536F"/>
    <w:rsid w:val="00D65700"/>
    <w:rsid w:val="00D675FF"/>
    <w:rsid w:val="00D67DAA"/>
    <w:rsid w:val="00D717B0"/>
    <w:rsid w:val="00D71E99"/>
    <w:rsid w:val="00D72A3A"/>
    <w:rsid w:val="00D72D10"/>
    <w:rsid w:val="00D72FB8"/>
    <w:rsid w:val="00D7329A"/>
    <w:rsid w:val="00D735D7"/>
    <w:rsid w:val="00D75588"/>
    <w:rsid w:val="00D75DCF"/>
    <w:rsid w:val="00D77FD1"/>
    <w:rsid w:val="00D83D92"/>
    <w:rsid w:val="00D84367"/>
    <w:rsid w:val="00D863A7"/>
    <w:rsid w:val="00D86F61"/>
    <w:rsid w:val="00D911A5"/>
    <w:rsid w:val="00D919C9"/>
    <w:rsid w:val="00D92BCB"/>
    <w:rsid w:val="00D93D2B"/>
    <w:rsid w:val="00D95394"/>
    <w:rsid w:val="00D964F8"/>
    <w:rsid w:val="00D97231"/>
    <w:rsid w:val="00D972DC"/>
    <w:rsid w:val="00DA0262"/>
    <w:rsid w:val="00DA1932"/>
    <w:rsid w:val="00DA1CFF"/>
    <w:rsid w:val="00DA32C1"/>
    <w:rsid w:val="00DA4ECA"/>
    <w:rsid w:val="00DA6FFC"/>
    <w:rsid w:val="00DB1517"/>
    <w:rsid w:val="00DB171E"/>
    <w:rsid w:val="00DB3723"/>
    <w:rsid w:val="00DB437C"/>
    <w:rsid w:val="00DB4F47"/>
    <w:rsid w:val="00DB5650"/>
    <w:rsid w:val="00DB5751"/>
    <w:rsid w:val="00DB5F54"/>
    <w:rsid w:val="00DC409C"/>
    <w:rsid w:val="00DC4B53"/>
    <w:rsid w:val="00DC4BD7"/>
    <w:rsid w:val="00DC55AD"/>
    <w:rsid w:val="00DC5987"/>
    <w:rsid w:val="00DD0501"/>
    <w:rsid w:val="00DD10ED"/>
    <w:rsid w:val="00DD28D0"/>
    <w:rsid w:val="00DD4EC2"/>
    <w:rsid w:val="00DD5E3D"/>
    <w:rsid w:val="00DD739F"/>
    <w:rsid w:val="00DD7441"/>
    <w:rsid w:val="00DD7737"/>
    <w:rsid w:val="00DD7EAC"/>
    <w:rsid w:val="00DE13B7"/>
    <w:rsid w:val="00DE4867"/>
    <w:rsid w:val="00DE4B13"/>
    <w:rsid w:val="00DE53AE"/>
    <w:rsid w:val="00DE6FB7"/>
    <w:rsid w:val="00DF38B7"/>
    <w:rsid w:val="00DF5228"/>
    <w:rsid w:val="00DF570B"/>
    <w:rsid w:val="00DF587D"/>
    <w:rsid w:val="00DF7B92"/>
    <w:rsid w:val="00E000F6"/>
    <w:rsid w:val="00E00FFE"/>
    <w:rsid w:val="00E013D3"/>
    <w:rsid w:val="00E023B1"/>
    <w:rsid w:val="00E028B3"/>
    <w:rsid w:val="00E054AD"/>
    <w:rsid w:val="00E05EAE"/>
    <w:rsid w:val="00E0617A"/>
    <w:rsid w:val="00E10284"/>
    <w:rsid w:val="00E102FE"/>
    <w:rsid w:val="00E108FF"/>
    <w:rsid w:val="00E12A68"/>
    <w:rsid w:val="00E12BF1"/>
    <w:rsid w:val="00E1321B"/>
    <w:rsid w:val="00E16B30"/>
    <w:rsid w:val="00E2036F"/>
    <w:rsid w:val="00E228D7"/>
    <w:rsid w:val="00E22BFF"/>
    <w:rsid w:val="00E251FF"/>
    <w:rsid w:val="00E256F9"/>
    <w:rsid w:val="00E25BB1"/>
    <w:rsid w:val="00E263BA"/>
    <w:rsid w:val="00E271A3"/>
    <w:rsid w:val="00E30231"/>
    <w:rsid w:val="00E30C54"/>
    <w:rsid w:val="00E31624"/>
    <w:rsid w:val="00E319CA"/>
    <w:rsid w:val="00E31ACA"/>
    <w:rsid w:val="00E33467"/>
    <w:rsid w:val="00E359BD"/>
    <w:rsid w:val="00E35A4D"/>
    <w:rsid w:val="00E35CAF"/>
    <w:rsid w:val="00E36EA5"/>
    <w:rsid w:val="00E408B6"/>
    <w:rsid w:val="00E40D3C"/>
    <w:rsid w:val="00E41B7D"/>
    <w:rsid w:val="00E42E1E"/>
    <w:rsid w:val="00E43088"/>
    <w:rsid w:val="00E45DC3"/>
    <w:rsid w:val="00E45E8A"/>
    <w:rsid w:val="00E46519"/>
    <w:rsid w:val="00E468D5"/>
    <w:rsid w:val="00E47D0B"/>
    <w:rsid w:val="00E47DFA"/>
    <w:rsid w:val="00E5069A"/>
    <w:rsid w:val="00E506BC"/>
    <w:rsid w:val="00E509DE"/>
    <w:rsid w:val="00E517A0"/>
    <w:rsid w:val="00E52856"/>
    <w:rsid w:val="00E5486C"/>
    <w:rsid w:val="00E54C32"/>
    <w:rsid w:val="00E57ACD"/>
    <w:rsid w:val="00E57AF9"/>
    <w:rsid w:val="00E605A1"/>
    <w:rsid w:val="00E60E6E"/>
    <w:rsid w:val="00E6113A"/>
    <w:rsid w:val="00E61A93"/>
    <w:rsid w:val="00E63720"/>
    <w:rsid w:val="00E65129"/>
    <w:rsid w:val="00E65E1F"/>
    <w:rsid w:val="00E65F46"/>
    <w:rsid w:val="00E66BFF"/>
    <w:rsid w:val="00E671EB"/>
    <w:rsid w:val="00E7092D"/>
    <w:rsid w:val="00E7126E"/>
    <w:rsid w:val="00E75343"/>
    <w:rsid w:val="00E77052"/>
    <w:rsid w:val="00E77AF7"/>
    <w:rsid w:val="00E82B64"/>
    <w:rsid w:val="00E82DD6"/>
    <w:rsid w:val="00E83030"/>
    <w:rsid w:val="00E83CD7"/>
    <w:rsid w:val="00E843F3"/>
    <w:rsid w:val="00E84D30"/>
    <w:rsid w:val="00E84FAC"/>
    <w:rsid w:val="00E84FD0"/>
    <w:rsid w:val="00E854BA"/>
    <w:rsid w:val="00E8702D"/>
    <w:rsid w:val="00E8716E"/>
    <w:rsid w:val="00E87C5A"/>
    <w:rsid w:val="00E9005D"/>
    <w:rsid w:val="00E90E1C"/>
    <w:rsid w:val="00E9135C"/>
    <w:rsid w:val="00E91799"/>
    <w:rsid w:val="00E929EF"/>
    <w:rsid w:val="00E9302E"/>
    <w:rsid w:val="00E96C2F"/>
    <w:rsid w:val="00EA0E50"/>
    <w:rsid w:val="00EA1A61"/>
    <w:rsid w:val="00EA2F1E"/>
    <w:rsid w:val="00EA3B53"/>
    <w:rsid w:val="00EA5FD7"/>
    <w:rsid w:val="00EA7DAB"/>
    <w:rsid w:val="00EA7F8E"/>
    <w:rsid w:val="00EB1DEA"/>
    <w:rsid w:val="00EB206B"/>
    <w:rsid w:val="00EB2DEC"/>
    <w:rsid w:val="00EB6748"/>
    <w:rsid w:val="00EB6F25"/>
    <w:rsid w:val="00EB7D0D"/>
    <w:rsid w:val="00EC23B8"/>
    <w:rsid w:val="00EC4ED3"/>
    <w:rsid w:val="00EC66B5"/>
    <w:rsid w:val="00EC7095"/>
    <w:rsid w:val="00EC7A68"/>
    <w:rsid w:val="00ED091D"/>
    <w:rsid w:val="00ED15FD"/>
    <w:rsid w:val="00ED1758"/>
    <w:rsid w:val="00ED3BFA"/>
    <w:rsid w:val="00ED5142"/>
    <w:rsid w:val="00ED608F"/>
    <w:rsid w:val="00EE1F2C"/>
    <w:rsid w:val="00EE38DE"/>
    <w:rsid w:val="00EE3A2A"/>
    <w:rsid w:val="00EE4257"/>
    <w:rsid w:val="00EE4C5C"/>
    <w:rsid w:val="00EE621F"/>
    <w:rsid w:val="00EE6923"/>
    <w:rsid w:val="00EE7F86"/>
    <w:rsid w:val="00EF1659"/>
    <w:rsid w:val="00EF1958"/>
    <w:rsid w:val="00EF2380"/>
    <w:rsid w:val="00EF3A94"/>
    <w:rsid w:val="00EF4549"/>
    <w:rsid w:val="00EF68D9"/>
    <w:rsid w:val="00EF7150"/>
    <w:rsid w:val="00F02DB3"/>
    <w:rsid w:val="00F0473D"/>
    <w:rsid w:val="00F04846"/>
    <w:rsid w:val="00F05395"/>
    <w:rsid w:val="00F05DAD"/>
    <w:rsid w:val="00F06285"/>
    <w:rsid w:val="00F07219"/>
    <w:rsid w:val="00F07F2A"/>
    <w:rsid w:val="00F10A7F"/>
    <w:rsid w:val="00F10FB8"/>
    <w:rsid w:val="00F1166C"/>
    <w:rsid w:val="00F154DE"/>
    <w:rsid w:val="00F1677C"/>
    <w:rsid w:val="00F176E8"/>
    <w:rsid w:val="00F20C0E"/>
    <w:rsid w:val="00F21873"/>
    <w:rsid w:val="00F227DE"/>
    <w:rsid w:val="00F229CE"/>
    <w:rsid w:val="00F24089"/>
    <w:rsid w:val="00F25DBB"/>
    <w:rsid w:val="00F26A9F"/>
    <w:rsid w:val="00F30528"/>
    <w:rsid w:val="00F3117C"/>
    <w:rsid w:val="00F33112"/>
    <w:rsid w:val="00F34571"/>
    <w:rsid w:val="00F353D9"/>
    <w:rsid w:val="00F365BA"/>
    <w:rsid w:val="00F375CC"/>
    <w:rsid w:val="00F37E97"/>
    <w:rsid w:val="00F40599"/>
    <w:rsid w:val="00F412BB"/>
    <w:rsid w:val="00F4259F"/>
    <w:rsid w:val="00F45B6E"/>
    <w:rsid w:val="00F45EF6"/>
    <w:rsid w:val="00F47551"/>
    <w:rsid w:val="00F4764E"/>
    <w:rsid w:val="00F47EAD"/>
    <w:rsid w:val="00F51D23"/>
    <w:rsid w:val="00F52C26"/>
    <w:rsid w:val="00F54503"/>
    <w:rsid w:val="00F55647"/>
    <w:rsid w:val="00F55E85"/>
    <w:rsid w:val="00F56739"/>
    <w:rsid w:val="00F621AC"/>
    <w:rsid w:val="00F65524"/>
    <w:rsid w:val="00F65923"/>
    <w:rsid w:val="00F707E2"/>
    <w:rsid w:val="00F71AEA"/>
    <w:rsid w:val="00F75B75"/>
    <w:rsid w:val="00F75E6A"/>
    <w:rsid w:val="00F75FDA"/>
    <w:rsid w:val="00F774D9"/>
    <w:rsid w:val="00F77866"/>
    <w:rsid w:val="00F80959"/>
    <w:rsid w:val="00F814FA"/>
    <w:rsid w:val="00F822C7"/>
    <w:rsid w:val="00F85753"/>
    <w:rsid w:val="00F87042"/>
    <w:rsid w:val="00F90E54"/>
    <w:rsid w:val="00F91FAD"/>
    <w:rsid w:val="00F921F1"/>
    <w:rsid w:val="00F93D9A"/>
    <w:rsid w:val="00F94207"/>
    <w:rsid w:val="00F9520C"/>
    <w:rsid w:val="00F9552E"/>
    <w:rsid w:val="00F9610C"/>
    <w:rsid w:val="00FA05EC"/>
    <w:rsid w:val="00FA2D46"/>
    <w:rsid w:val="00FA2E42"/>
    <w:rsid w:val="00FA43BD"/>
    <w:rsid w:val="00FA4E12"/>
    <w:rsid w:val="00FA7530"/>
    <w:rsid w:val="00FB0E18"/>
    <w:rsid w:val="00FB3BC2"/>
    <w:rsid w:val="00FB4AF4"/>
    <w:rsid w:val="00FB4F0A"/>
    <w:rsid w:val="00FB649F"/>
    <w:rsid w:val="00FC0667"/>
    <w:rsid w:val="00FC1CD8"/>
    <w:rsid w:val="00FC226E"/>
    <w:rsid w:val="00FC2880"/>
    <w:rsid w:val="00FD139D"/>
    <w:rsid w:val="00FD2966"/>
    <w:rsid w:val="00FD59C9"/>
    <w:rsid w:val="00FD6B06"/>
    <w:rsid w:val="00FE025C"/>
    <w:rsid w:val="00FE0BC5"/>
    <w:rsid w:val="00FE1D39"/>
    <w:rsid w:val="00FE36E7"/>
    <w:rsid w:val="00FE3CD4"/>
    <w:rsid w:val="00FE3FDA"/>
    <w:rsid w:val="00FE46C5"/>
    <w:rsid w:val="00FE51E8"/>
    <w:rsid w:val="00FF316E"/>
    <w:rsid w:val="00FF3221"/>
    <w:rsid w:val="00FF6B63"/>
    <w:rsid w:val="04859E94"/>
    <w:rsid w:val="073CD5E3"/>
    <w:rsid w:val="0BE92B2A"/>
    <w:rsid w:val="0C0F8352"/>
    <w:rsid w:val="13D53164"/>
    <w:rsid w:val="19DB2DAE"/>
    <w:rsid w:val="268278A3"/>
    <w:rsid w:val="2A426B6F"/>
    <w:rsid w:val="3569965D"/>
    <w:rsid w:val="454F30D0"/>
    <w:rsid w:val="70A07022"/>
    <w:rsid w:val="7F2C0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2B64A6"/>
  <w15:docId w15:val="{ECCA70E1-42C4-4D19-A2A9-DF6196895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0FC"/>
    <w:pPr>
      <w:spacing w:after="0" w:line="240" w:lineRule="auto"/>
      <w:ind w:left="720"/>
    </w:pPr>
  </w:style>
  <w:style w:type="paragraph" w:styleId="Heading1">
    <w:name w:val="heading 1"/>
    <w:basedOn w:val="Normal"/>
    <w:next w:val="Normal"/>
    <w:link w:val="Heading1Char"/>
    <w:uiPriority w:val="9"/>
    <w:qFormat/>
    <w:rsid w:val="00440357"/>
    <w:pPr>
      <w:keepNext/>
      <w:keepLines/>
      <w:spacing w:before="240" w:after="240"/>
      <w:ind w:left="0"/>
      <w:outlineLvl w:val="0"/>
    </w:pPr>
    <w:rPr>
      <w:rFonts w:asciiTheme="majorHAnsi" w:eastAsiaTheme="majorEastAsia" w:hAnsiTheme="majorHAnsi" w:cstheme="majorBidi"/>
      <w:color w:val="365F91" w:themeColor="accent1" w:themeShade="BF"/>
      <w:sz w:val="32"/>
      <w:szCs w:val="32"/>
      <w:u w:val="single"/>
    </w:rPr>
  </w:style>
  <w:style w:type="paragraph" w:styleId="Heading2">
    <w:name w:val="heading 2"/>
    <w:basedOn w:val="Normal"/>
    <w:next w:val="Normal"/>
    <w:link w:val="Heading2Char"/>
    <w:uiPriority w:val="9"/>
    <w:unhideWhenUsed/>
    <w:qFormat/>
    <w:rsid w:val="00A630FC"/>
    <w:pPr>
      <w:keepNext/>
      <w:keepLines/>
      <w:spacing w:before="40" w:after="240"/>
      <w:ind w:left="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575E5"/>
    <w:pPr>
      <w:keepNext/>
      <w:keepLines/>
      <w:spacing w:before="40" w:after="240"/>
      <w:outlineLvl w:val="2"/>
    </w:pPr>
    <w:rPr>
      <w:rFonts w:asciiTheme="majorHAnsi" w:eastAsiaTheme="majorEastAsia" w:hAnsiTheme="majorHAnsi" w:cstheme="majorBidi"/>
      <w:b/>
      <w:color w:val="243F60" w:themeColor="accent1" w:themeShade="7F"/>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7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5C36"/>
    <w:pPr>
      <w:contextualSpacing/>
    </w:pPr>
  </w:style>
  <w:style w:type="character" w:styleId="Hyperlink">
    <w:name w:val="Hyperlink"/>
    <w:basedOn w:val="DefaultParagraphFont"/>
    <w:uiPriority w:val="99"/>
    <w:unhideWhenUsed/>
    <w:rsid w:val="005A50D5"/>
    <w:rPr>
      <w:color w:val="0000FF" w:themeColor="hyperlink"/>
      <w:u w:val="single"/>
    </w:rPr>
  </w:style>
  <w:style w:type="character" w:styleId="FollowedHyperlink">
    <w:name w:val="FollowedHyperlink"/>
    <w:basedOn w:val="DefaultParagraphFont"/>
    <w:uiPriority w:val="99"/>
    <w:semiHidden/>
    <w:unhideWhenUsed/>
    <w:rsid w:val="00635F0B"/>
    <w:rPr>
      <w:color w:val="800080" w:themeColor="followedHyperlink"/>
      <w:u w:val="single"/>
    </w:rPr>
  </w:style>
  <w:style w:type="character" w:styleId="CommentReference">
    <w:name w:val="annotation reference"/>
    <w:basedOn w:val="DefaultParagraphFont"/>
    <w:uiPriority w:val="99"/>
    <w:semiHidden/>
    <w:unhideWhenUsed/>
    <w:rsid w:val="00A45C23"/>
    <w:rPr>
      <w:sz w:val="16"/>
      <w:szCs w:val="16"/>
    </w:rPr>
  </w:style>
  <w:style w:type="paragraph" w:styleId="CommentText">
    <w:name w:val="annotation text"/>
    <w:basedOn w:val="Normal"/>
    <w:link w:val="CommentTextChar"/>
    <w:uiPriority w:val="99"/>
    <w:unhideWhenUsed/>
    <w:rsid w:val="00A45C23"/>
    <w:rPr>
      <w:sz w:val="20"/>
      <w:szCs w:val="20"/>
    </w:rPr>
  </w:style>
  <w:style w:type="character" w:customStyle="1" w:styleId="CommentTextChar">
    <w:name w:val="Comment Text Char"/>
    <w:basedOn w:val="DefaultParagraphFont"/>
    <w:link w:val="CommentText"/>
    <w:uiPriority w:val="99"/>
    <w:rsid w:val="00A45C23"/>
    <w:rPr>
      <w:sz w:val="20"/>
      <w:szCs w:val="20"/>
    </w:rPr>
  </w:style>
  <w:style w:type="paragraph" w:styleId="CommentSubject">
    <w:name w:val="annotation subject"/>
    <w:basedOn w:val="CommentText"/>
    <w:next w:val="CommentText"/>
    <w:link w:val="CommentSubjectChar"/>
    <w:uiPriority w:val="99"/>
    <w:semiHidden/>
    <w:unhideWhenUsed/>
    <w:rsid w:val="00A45C23"/>
    <w:rPr>
      <w:b/>
      <w:bCs/>
    </w:rPr>
  </w:style>
  <w:style w:type="character" w:customStyle="1" w:styleId="CommentSubjectChar">
    <w:name w:val="Comment Subject Char"/>
    <w:basedOn w:val="CommentTextChar"/>
    <w:link w:val="CommentSubject"/>
    <w:uiPriority w:val="99"/>
    <w:semiHidden/>
    <w:rsid w:val="00A45C23"/>
    <w:rPr>
      <w:b/>
      <w:bCs/>
      <w:sz w:val="20"/>
      <w:szCs w:val="20"/>
    </w:rPr>
  </w:style>
  <w:style w:type="paragraph" w:styleId="Revision">
    <w:name w:val="Revision"/>
    <w:hidden/>
    <w:uiPriority w:val="99"/>
    <w:semiHidden/>
    <w:rsid w:val="00A45C23"/>
    <w:pPr>
      <w:spacing w:after="0" w:line="240" w:lineRule="auto"/>
    </w:pPr>
  </w:style>
  <w:style w:type="paragraph" w:styleId="BalloonText">
    <w:name w:val="Balloon Text"/>
    <w:basedOn w:val="Normal"/>
    <w:link w:val="BalloonTextChar"/>
    <w:uiPriority w:val="99"/>
    <w:semiHidden/>
    <w:unhideWhenUsed/>
    <w:rsid w:val="00A45C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C23"/>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021627"/>
  </w:style>
  <w:style w:type="paragraph" w:customStyle="1" w:styleId="Default">
    <w:name w:val="Default"/>
    <w:basedOn w:val="Normal"/>
    <w:rsid w:val="00021627"/>
    <w:pPr>
      <w:autoSpaceDE w:val="0"/>
      <w:autoSpaceDN w:val="0"/>
    </w:pPr>
    <w:rPr>
      <w:rFonts w:ascii="Calibri" w:hAnsi="Calibri" w:cs="Calibri"/>
      <w:color w:val="000000"/>
      <w:sz w:val="24"/>
      <w:szCs w:val="24"/>
    </w:rPr>
  </w:style>
  <w:style w:type="table" w:customStyle="1" w:styleId="TableGrid1">
    <w:name w:val="Table Grid1"/>
    <w:basedOn w:val="TableNormal"/>
    <w:next w:val="TableGrid"/>
    <w:uiPriority w:val="59"/>
    <w:rsid w:val="00A3302D"/>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13"/>
    <w:unhideWhenUsed/>
    <w:qFormat/>
    <w:rsid w:val="00F47EAD"/>
    <w:rPr>
      <w:i/>
      <w:iCs/>
      <w:color w:val="1F497D" w:themeColor="text2"/>
      <w:sz w:val="18"/>
      <w:szCs w:val="18"/>
    </w:rPr>
  </w:style>
  <w:style w:type="paragraph" w:styleId="BodyText">
    <w:name w:val="Body Text"/>
    <w:basedOn w:val="Normal"/>
    <w:link w:val="BodyTextChar"/>
    <w:qFormat/>
    <w:rsid w:val="007C2954"/>
    <w:pPr>
      <w:tabs>
        <w:tab w:val="left" w:pos="360"/>
        <w:tab w:val="left" w:pos="720"/>
        <w:tab w:val="left" w:pos="1080"/>
      </w:tabs>
      <w:spacing w:before="240" w:line="264" w:lineRule="auto"/>
      <w:ind w:firstLine="360"/>
    </w:pPr>
    <w:rPr>
      <w:rFonts w:ascii="Times New Roman" w:eastAsia="Times New Roman" w:hAnsi="Times New Roman" w:cs="Times New Roman"/>
    </w:rPr>
  </w:style>
  <w:style w:type="character" w:customStyle="1" w:styleId="BodyTextChar">
    <w:name w:val="Body Text Char"/>
    <w:basedOn w:val="DefaultParagraphFont"/>
    <w:link w:val="BodyText"/>
    <w:rsid w:val="007C2954"/>
    <w:rPr>
      <w:rFonts w:ascii="Times New Roman" w:eastAsia="Times New Roman" w:hAnsi="Times New Roman" w:cs="Times New Roman"/>
    </w:rPr>
  </w:style>
  <w:style w:type="paragraph" w:customStyle="1" w:styleId="QuestionStyle">
    <w:name w:val="Question Style"/>
    <w:basedOn w:val="Heading2"/>
    <w:link w:val="QuestionStyleChar"/>
    <w:qFormat/>
    <w:rsid w:val="001F22EF"/>
    <w:pPr>
      <w:spacing w:before="200"/>
    </w:pPr>
    <w:rPr>
      <w:rFonts w:ascii="Arial" w:hAnsi="Arial" w:cs="Arial"/>
      <w:b/>
      <w:bCs/>
      <w:color w:val="4F81BD" w:themeColor="accent1"/>
    </w:rPr>
  </w:style>
  <w:style w:type="character" w:customStyle="1" w:styleId="QuestionStyleChar">
    <w:name w:val="Question Style Char"/>
    <w:basedOn w:val="Heading2Char"/>
    <w:link w:val="QuestionStyle"/>
    <w:rsid w:val="001F22EF"/>
    <w:rPr>
      <w:rFonts w:ascii="Arial" w:eastAsiaTheme="majorEastAsia" w:hAnsi="Arial" w:cs="Arial"/>
      <w:b/>
      <w:bCs/>
      <w:color w:val="4F81BD" w:themeColor="accent1"/>
      <w:sz w:val="26"/>
      <w:szCs w:val="26"/>
    </w:rPr>
  </w:style>
  <w:style w:type="character" w:customStyle="1" w:styleId="Heading2Char">
    <w:name w:val="Heading 2 Char"/>
    <w:basedOn w:val="DefaultParagraphFont"/>
    <w:link w:val="Heading2"/>
    <w:uiPriority w:val="9"/>
    <w:rsid w:val="00A630FC"/>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40357"/>
    <w:rPr>
      <w:rFonts w:asciiTheme="majorHAnsi" w:eastAsiaTheme="majorEastAsia" w:hAnsiTheme="majorHAnsi" w:cstheme="majorBidi"/>
      <w:color w:val="365F91" w:themeColor="accent1" w:themeShade="BF"/>
      <w:sz w:val="32"/>
      <w:szCs w:val="32"/>
      <w:u w:val="single"/>
    </w:rPr>
  </w:style>
  <w:style w:type="paragraph" w:styleId="Title">
    <w:name w:val="Title"/>
    <w:basedOn w:val="Normal"/>
    <w:next w:val="Normal"/>
    <w:link w:val="TitleChar"/>
    <w:uiPriority w:val="10"/>
    <w:qFormat/>
    <w:rsid w:val="008050F8"/>
    <w:pPr>
      <w:keepNext/>
      <w:spacing w:after="480"/>
      <w:contextualSpacing/>
    </w:pPr>
    <w:rPr>
      <w:rFonts w:asciiTheme="majorHAnsi" w:eastAsiaTheme="majorEastAsia" w:hAnsiTheme="majorHAnsi" w:cstheme="majorBidi"/>
      <w:spacing w:val="-10"/>
      <w:kern w:val="28"/>
      <w:sz w:val="56"/>
      <w:szCs w:val="56"/>
      <w:u w:val="single"/>
    </w:rPr>
  </w:style>
  <w:style w:type="character" w:customStyle="1" w:styleId="TitleChar">
    <w:name w:val="Title Char"/>
    <w:basedOn w:val="DefaultParagraphFont"/>
    <w:link w:val="Title"/>
    <w:uiPriority w:val="10"/>
    <w:rsid w:val="008050F8"/>
    <w:rPr>
      <w:rFonts w:asciiTheme="majorHAnsi" w:eastAsiaTheme="majorEastAsia" w:hAnsiTheme="majorHAnsi" w:cstheme="majorBidi"/>
      <w:spacing w:val="-10"/>
      <w:kern w:val="28"/>
      <w:sz w:val="56"/>
      <w:szCs w:val="56"/>
      <w:u w:val="single"/>
    </w:rPr>
  </w:style>
  <w:style w:type="paragraph" w:styleId="Header">
    <w:name w:val="header"/>
    <w:basedOn w:val="Normal"/>
    <w:link w:val="HeaderChar"/>
    <w:uiPriority w:val="99"/>
    <w:unhideWhenUsed/>
    <w:rsid w:val="008E1A3D"/>
    <w:pPr>
      <w:tabs>
        <w:tab w:val="center" w:pos="4320"/>
        <w:tab w:val="right" w:pos="8640"/>
      </w:tabs>
    </w:pPr>
  </w:style>
  <w:style w:type="character" w:customStyle="1" w:styleId="HeaderChar">
    <w:name w:val="Header Char"/>
    <w:basedOn w:val="DefaultParagraphFont"/>
    <w:link w:val="Header"/>
    <w:uiPriority w:val="99"/>
    <w:rsid w:val="008E1A3D"/>
  </w:style>
  <w:style w:type="paragraph" w:styleId="Footer">
    <w:name w:val="footer"/>
    <w:basedOn w:val="Normal"/>
    <w:link w:val="FooterChar"/>
    <w:uiPriority w:val="99"/>
    <w:unhideWhenUsed/>
    <w:rsid w:val="008E1A3D"/>
    <w:pPr>
      <w:tabs>
        <w:tab w:val="center" w:pos="4320"/>
        <w:tab w:val="right" w:pos="8640"/>
      </w:tabs>
    </w:pPr>
  </w:style>
  <w:style w:type="character" w:customStyle="1" w:styleId="FooterChar">
    <w:name w:val="Footer Char"/>
    <w:basedOn w:val="DefaultParagraphFont"/>
    <w:link w:val="Footer"/>
    <w:uiPriority w:val="99"/>
    <w:rsid w:val="008E1A3D"/>
  </w:style>
  <w:style w:type="character" w:customStyle="1" w:styleId="Heading3Char">
    <w:name w:val="Heading 3 Char"/>
    <w:basedOn w:val="DefaultParagraphFont"/>
    <w:link w:val="Heading3"/>
    <w:uiPriority w:val="9"/>
    <w:rsid w:val="00B575E5"/>
    <w:rPr>
      <w:rFonts w:asciiTheme="majorHAnsi" w:eastAsiaTheme="majorEastAsia" w:hAnsiTheme="majorHAnsi" w:cstheme="majorBidi"/>
      <w:b/>
      <w:color w:val="243F60" w:themeColor="accent1" w:themeShade="7F"/>
      <w:sz w:val="24"/>
      <w:szCs w:val="24"/>
      <w:u w:val="single"/>
    </w:rPr>
  </w:style>
  <w:style w:type="paragraph" w:styleId="NormalWeb">
    <w:name w:val="Normal (Web)"/>
    <w:basedOn w:val="Normal"/>
    <w:uiPriority w:val="99"/>
    <w:semiHidden/>
    <w:unhideWhenUsed/>
    <w:rsid w:val="008F333D"/>
    <w:pPr>
      <w:ind w:left="0"/>
    </w:pPr>
    <w:rPr>
      <w:rFonts w:ascii="Times New Roman" w:hAnsi="Times New Roman" w:cs="Times New Roman"/>
      <w:sz w:val="24"/>
      <w:szCs w:val="24"/>
    </w:rPr>
  </w:style>
  <w:style w:type="character" w:styleId="PlaceholderText">
    <w:name w:val="Placeholder Text"/>
    <w:basedOn w:val="DefaultParagraphFont"/>
    <w:uiPriority w:val="99"/>
    <w:semiHidden/>
    <w:rsid w:val="008F333D"/>
    <w:rPr>
      <w:color w:val="808080"/>
    </w:rPr>
  </w:style>
  <w:style w:type="table" w:customStyle="1" w:styleId="TableGrid2">
    <w:name w:val="Table Grid2"/>
    <w:basedOn w:val="TableNormal"/>
    <w:next w:val="TableGrid"/>
    <w:uiPriority w:val="59"/>
    <w:rsid w:val="00286C2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1B3FBB"/>
    <w:pPr>
      <w:spacing w:after="0" w:line="259" w:lineRule="auto"/>
      <w:outlineLvl w:val="9"/>
    </w:pPr>
    <w:rPr>
      <w:u w:val="none"/>
    </w:rPr>
  </w:style>
  <w:style w:type="paragraph" w:styleId="TOC1">
    <w:name w:val="toc 1"/>
    <w:basedOn w:val="Normal"/>
    <w:next w:val="Normal"/>
    <w:autoRedefine/>
    <w:uiPriority w:val="39"/>
    <w:unhideWhenUsed/>
    <w:rsid w:val="001B3FBB"/>
    <w:pPr>
      <w:spacing w:after="100"/>
      <w:ind w:left="0"/>
    </w:pPr>
  </w:style>
  <w:style w:type="paragraph" w:styleId="TOC2">
    <w:name w:val="toc 2"/>
    <w:basedOn w:val="Normal"/>
    <w:next w:val="Normal"/>
    <w:autoRedefine/>
    <w:uiPriority w:val="39"/>
    <w:unhideWhenUsed/>
    <w:rsid w:val="001B3FBB"/>
    <w:pPr>
      <w:spacing w:after="100"/>
      <w:ind w:left="220"/>
    </w:pPr>
  </w:style>
  <w:style w:type="paragraph" w:styleId="TOC3">
    <w:name w:val="toc 3"/>
    <w:basedOn w:val="Normal"/>
    <w:next w:val="Normal"/>
    <w:autoRedefine/>
    <w:uiPriority w:val="39"/>
    <w:unhideWhenUsed/>
    <w:rsid w:val="001B3FBB"/>
    <w:pPr>
      <w:spacing w:after="100"/>
      <w:ind w:left="440"/>
    </w:pPr>
  </w:style>
  <w:style w:type="character" w:styleId="UnresolvedMention">
    <w:name w:val="Unresolved Mention"/>
    <w:basedOn w:val="DefaultParagraphFont"/>
    <w:uiPriority w:val="99"/>
    <w:semiHidden/>
    <w:unhideWhenUsed/>
    <w:rsid w:val="00056EC7"/>
    <w:rPr>
      <w:color w:val="605E5C"/>
      <w:shd w:val="clear" w:color="auto" w:fill="E1DFDD"/>
    </w:rPr>
  </w:style>
  <w:style w:type="paragraph" w:customStyle="1" w:styleId="TableCellCenteredHoriz">
    <w:name w:val="Table Cell Centered (Horiz)"/>
    <w:basedOn w:val="Normal"/>
    <w:rsid w:val="00652A76"/>
    <w:pPr>
      <w:keepNext/>
      <w:keepLines/>
      <w:suppressAutoHyphens/>
      <w:spacing w:before="40" w:after="40"/>
      <w:ind w:left="0"/>
      <w:jc w:val="center"/>
    </w:pPr>
    <w:rPr>
      <w:rFonts w:ascii="Times New Roman" w:eastAsia="Times New Roman" w:hAnsi="Times New Roman" w:cs="Arial"/>
      <w:sz w:val="16"/>
      <w:lang w:val="x-none" w:eastAsia="x-none"/>
      <w14:numForm w14:val="lining"/>
    </w:rPr>
  </w:style>
  <w:style w:type="character" w:customStyle="1" w:styleId="CodeLanguage-New">
    <w:name w:val="Code Language - New"/>
    <w:basedOn w:val="DefaultParagraphFont"/>
    <w:uiPriority w:val="1"/>
    <w:qFormat/>
    <w:rsid w:val="00652A76"/>
    <w:rPr>
      <w:color w:val="FF0000"/>
      <w:u w:val="single"/>
    </w:rPr>
  </w:style>
  <w:style w:type="character" w:customStyle="1" w:styleId="CaptionChar">
    <w:name w:val="Caption Char"/>
    <w:basedOn w:val="DefaultParagraphFont"/>
    <w:link w:val="Caption"/>
    <w:uiPriority w:val="13"/>
    <w:rsid w:val="008C0B31"/>
    <w:rPr>
      <w:i/>
      <w:iCs/>
      <w:color w:val="1F497D" w:themeColor="text2"/>
      <w:sz w:val="18"/>
      <w:szCs w:val="18"/>
    </w:rPr>
  </w:style>
  <w:style w:type="character" w:styleId="FootnoteReference">
    <w:name w:val="footnote reference"/>
    <w:aliases w:val="0 PIER Footnote Reference"/>
    <w:basedOn w:val="DefaultParagraphFont"/>
    <w:uiPriority w:val="99"/>
    <w:rsid w:val="008C0B31"/>
    <w:rPr>
      <w:rFonts w:ascii="Palatino" w:hAnsi="Palatino"/>
      <w:sz w:val="20"/>
      <w:vertAlign w:val="superscript"/>
    </w:rPr>
  </w:style>
  <w:style w:type="paragraph" w:styleId="FootnoteText">
    <w:name w:val="footnote text"/>
    <w:basedOn w:val="Normal"/>
    <w:link w:val="FootnoteTextChar"/>
    <w:uiPriority w:val="99"/>
    <w:rsid w:val="008C0B31"/>
    <w:pPr>
      <w:tabs>
        <w:tab w:val="left" w:pos="360"/>
      </w:tabs>
      <w:suppressAutoHyphens/>
      <w:spacing w:after="140" w:line="300" w:lineRule="atLeast"/>
      <w:ind w:left="0"/>
    </w:pPr>
    <w:rPr>
      <w:rFonts w:ascii="Lucida Bright" w:eastAsia="SimSun" w:hAnsi="Lucida Bright" w:cs="Times New Roman"/>
      <w:sz w:val="20"/>
      <w:szCs w:val="24"/>
    </w:rPr>
  </w:style>
  <w:style w:type="character" w:customStyle="1" w:styleId="FootnoteTextChar">
    <w:name w:val="Footnote Text Char"/>
    <w:basedOn w:val="DefaultParagraphFont"/>
    <w:link w:val="FootnoteText"/>
    <w:uiPriority w:val="99"/>
    <w:rsid w:val="008C0B31"/>
    <w:rPr>
      <w:rFonts w:ascii="Lucida Bright" w:eastAsia="SimSun" w:hAnsi="Lucida Bright" w:cs="Times New Roman"/>
      <w:sz w:val="20"/>
      <w:szCs w:val="24"/>
    </w:rPr>
  </w:style>
  <w:style w:type="paragraph" w:styleId="Bibliography">
    <w:name w:val="Bibliography"/>
    <w:basedOn w:val="Normal"/>
    <w:next w:val="Normal"/>
    <w:uiPriority w:val="37"/>
    <w:unhideWhenUsed/>
    <w:rsid w:val="008C0B31"/>
  </w:style>
  <w:style w:type="character" w:customStyle="1" w:styleId="ordinal">
    <w:name w:val="ordinal"/>
    <w:basedOn w:val="DefaultParagraphFont"/>
    <w:rsid w:val="00F55E85"/>
  </w:style>
  <w:style w:type="character" w:customStyle="1" w:styleId="apple-converted-space">
    <w:name w:val="apple-converted-space"/>
    <w:basedOn w:val="DefaultParagraphFont"/>
    <w:rsid w:val="00F55E85"/>
  </w:style>
  <w:style w:type="character" w:customStyle="1" w:styleId="Title1">
    <w:name w:val="Title1"/>
    <w:basedOn w:val="DefaultParagraphFont"/>
    <w:rsid w:val="00F55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9054">
      <w:bodyDiv w:val="1"/>
      <w:marLeft w:val="0"/>
      <w:marRight w:val="0"/>
      <w:marTop w:val="0"/>
      <w:marBottom w:val="0"/>
      <w:divBdr>
        <w:top w:val="none" w:sz="0" w:space="0" w:color="auto"/>
        <w:left w:val="none" w:sz="0" w:space="0" w:color="auto"/>
        <w:bottom w:val="none" w:sz="0" w:space="0" w:color="auto"/>
        <w:right w:val="none" w:sz="0" w:space="0" w:color="auto"/>
      </w:divBdr>
    </w:div>
    <w:div w:id="107820564">
      <w:bodyDiv w:val="1"/>
      <w:marLeft w:val="0"/>
      <w:marRight w:val="0"/>
      <w:marTop w:val="0"/>
      <w:marBottom w:val="0"/>
      <w:divBdr>
        <w:top w:val="none" w:sz="0" w:space="0" w:color="auto"/>
        <w:left w:val="none" w:sz="0" w:space="0" w:color="auto"/>
        <w:bottom w:val="none" w:sz="0" w:space="0" w:color="auto"/>
        <w:right w:val="none" w:sz="0" w:space="0" w:color="auto"/>
      </w:divBdr>
    </w:div>
    <w:div w:id="179249063">
      <w:bodyDiv w:val="1"/>
      <w:marLeft w:val="0"/>
      <w:marRight w:val="0"/>
      <w:marTop w:val="0"/>
      <w:marBottom w:val="0"/>
      <w:divBdr>
        <w:top w:val="none" w:sz="0" w:space="0" w:color="auto"/>
        <w:left w:val="none" w:sz="0" w:space="0" w:color="auto"/>
        <w:bottom w:val="none" w:sz="0" w:space="0" w:color="auto"/>
        <w:right w:val="none" w:sz="0" w:space="0" w:color="auto"/>
      </w:divBdr>
      <w:divsChild>
        <w:div w:id="2368643">
          <w:marLeft w:val="375"/>
          <w:marRight w:val="0"/>
          <w:marTop w:val="75"/>
          <w:marBottom w:val="75"/>
          <w:divBdr>
            <w:top w:val="none" w:sz="0" w:space="0" w:color="auto"/>
            <w:left w:val="none" w:sz="0" w:space="0" w:color="auto"/>
            <w:bottom w:val="none" w:sz="0" w:space="0" w:color="auto"/>
            <w:right w:val="none" w:sz="0" w:space="0" w:color="auto"/>
          </w:divBdr>
        </w:div>
        <w:div w:id="645479295">
          <w:marLeft w:val="0"/>
          <w:marRight w:val="0"/>
          <w:marTop w:val="0"/>
          <w:marBottom w:val="0"/>
          <w:divBdr>
            <w:top w:val="none" w:sz="0" w:space="0" w:color="auto"/>
            <w:left w:val="none" w:sz="0" w:space="0" w:color="auto"/>
            <w:bottom w:val="none" w:sz="0" w:space="0" w:color="auto"/>
            <w:right w:val="none" w:sz="0" w:space="0" w:color="auto"/>
          </w:divBdr>
        </w:div>
      </w:divsChild>
    </w:div>
    <w:div w:id="346296240">
      <w:bodyDiv w:val="1"/>
      <w:marLeft w:val="0"/>
      <w:marRight w:val="0"/>
      <w:marTop w:val="0"/>
      <w:marBottom w:val="0"/>
      <w:divBdr>
        <w:top w:val="none" w:sz="0" w:space="0" w:color="auto"/>
        <w:left w:val="none" w:sz="0" w:space="0" w:color="auto"/>
        <w:bottom w:val="none" w:sz="0" w:space="0" w:color="auto"/>
        <w:right w:val="none" w:sz="0" w:space="0" w:color="auto"/>
      </w:divBdr>
    </w:div>
    <w:div w:id="357043613">
      <w:bodyDiv w:val="1"/>
      <w:marLeft w:val="0"/>
      <w:marRight w:val="0"/>
      <w:marTop w:val="0"/>
      <w:marBottom w:val="0"/>
      <w:divBdr>
        <w:top w:val="none" w:sz="0" w:space="0" w:color="auto"/>
        <w:left w:val="none" w:sz="0" w:space="0" w:color="auto"/>
        <w:bottom w:val="none" w:sz="0" w:space="0" w:color="auto"/>
        <w:right w:val="none" w:sz="0" w:space="0" w:color="auto"/>
      </w:divBdr>
    </w:div>
    <w:div w:id="426006052">
      <w:bodyDiv w:val="1"/>
      <w:marLeft w:val="0"/>
      <w:marRight w:val="0"/>
      <w:marTop w:val="0"/>
      <w:marBottom w:val="0"/>
      <w:divBdr>
        <w:top w:val="none" w:sz="0" w:space="0" w:color="auto"/>
        <w:left w:val="none" w:sz="0" w:space="0" w:color="auto"/>
        <w:bottom w:val="none" w:sz="0" w:space="0" w:color="auto"/>
        <w:right w:val="none" w:sz="0" w:space="0" w:color="auto"/>
      </w:divBdr>
    </w:div>
    <w:div w:id="560139677">
      <w:bodyDiv w:val="1"/>
      <w:marLeft w:val="0"/>
      <w:marRight w:val="0"/>
      <w:marTop w:val="0"/>
      <w:marBottom w:val="0"/>
      <w:divBdr>
        <w:top w:val="none" w:sz="0" w:space="0" w:color="auto"/>
        <w:left w:val="none" w:sz="0" w:space="0" w:color="auto"/>
        <w:bottom w:val="none" w:sz="0" w:space="0" w:color="auto"/>
        <w:right w:val="none" w:sz="0" w:space="0" w:color="auto"/>
      </w:divBdr>
    </w:div>
    <w:div w:id="584874174">
      <w:bodyDiv w:val="1"/>
      <w:marLeft w:val="0"/>
      <w:marRight w:val="0"/>
      <w:marTop w:val="0"/>
      <w:marBottom w:val="0"/>
      <w:divBdr>
        <w:top w:val="none" w:sz="0" w:space="0" w:color="auto"/>
        <w:left w:val="none" w:sz="0" w:space="0" w:color="auto"/>
        <w:bottom w:val="none" w:sz="0" w:space="0" w:color="auto"/>
        <w:right w:val="none" w:sz="0" w:space="0" w:color="auto"/>
      </w:divBdr>
      <w:divsChild>
        <w:div w:id="1043988581">
          <w:marLeft w:val="0"/>
          <w:marRight w:val="0"/>
          <w:marTop w:val="0"/>
          <w:marBottom w:val="0"/>
          <w:divBdr>
            <w:top w:val="none" w:sz="0" w:space="0" w:color="auto"/>
            <w:left w:val="none" w:sz="0" w:space="0" w:color="auto"/>
            <w:bottom w:val="none" w:sz="0" w:space="0" w:color="auto"/>
            <w:right w:val="none" w:sz="0" w:space="0" w:color="auto"/>
          </w:divBdr>
          <w:divsChild>
            <w:div w:id="128590605">
              <w:marLeft w:val="0"/>
              <w:marRight w:val="0"/>
              <w:marTop w:val="0"/>
              <w:marBottom w:val="0"/>
              <w:divBdr>
                <w:top w:val="none" w:sz="0" w:space="0" w:color="auto"/>
                <w:left w:val="none" w:sz="0" w:space="0" w:color="auto"/>
                <w:bottom w:val="none" w:sz="0" w:space="0" w:color="auto"/>
                <w:right w:val="none" w:sz="0" w:space="0" w:color="auto"/>
              </w:divBdr>
              <w:divsChild>
                <w:div w:id="461582464">
                  <w:marLeft w:val="0"/>
                  <w:marRight w:val="0"/>
                  <w:marTop w:val="0"/>
                  <w:marBottom w:val="0"/>
                  <w:divBdr>
                    <w:top w:val="none" w:sz="0" w:space="0" w:color="auto"/>
                    <w:left w:val="none" w:sz="0" w:space="0" w:color="auto"/>
                    <w:bottom w:val="none" w:sz="0" w:space="0" w:color="auto"/>
                    <w:right w:val="none" w:sz="0" w:space="0" w:color="auto"/>
                  </w:divBdr>
                  <w:divsChild>
                    <w:div w:id="1638410757">
                      <w:marLeft w:val="0"/>
                      <w:marRight w:val="0"/>
                      <w:marTop w:val="0"/>
                      <w:marBottom w:val="0"/>
                      <w:divBdr>
                        <w:top w:val="none" w:sz="0" w:space="0" w:color="auto"/>
                        <w:left w:val="none" w:sz="0" w:space="0" w:color="auto"/>
                        <w:bottom w:val="none" w:sz="0" w:space="0" w:color="auto"/>
                        <w:right w:val="none" w:sz="0" w:space="0" w:color="auto"/>
                      </w:divBdr>
                    </w:div>
                    <w:div w:id="648099356">
                      <w:marLeft w:val="0"/>
                      <w:marRight w:val="0"/>
                      <w:marTop w:val="0"/>
                      <w:marBottom w:val="0"/>
                      <w:divBdr>
                        <w:top w:val="none" w:sz="0" w:space="0" w:color="auto"/>
                        <w:left w:val="none" w:sz="0" w:space="0" w:color="auto"/>
                        <w:bottom w:val="none" w:sz="0" w:space="0" w:color="auto"/>
                        <w:right w:val="none" w:sz="0" w:space="0" w:color="auto"/>
                      </w:divBdr>
                    </w:div>
                    <w:div w:id="1779720616">
                      <w:marLeft w:val="0"/>
                      <w:marRight w:val="0"/>
                      <w:marTop w:val="0"/>
                      <w:marBottom w:val="0"/>
                      <w:divBdr>
                        <w:top w:val="none" w:sz="0" w:space="0" w:color="auto"/>
                        <w:left w:val="none" w:sz="0" w:space="0" w:color="auto"/>
                        <w:bottom w:val="none" w:sz="0" w:space="0" w:color="auto"/>
                        <w:right w:val="none" w:sz="0" w:space="0" w:color="auto"/>
                      </w:divBdr>
                    </w:div>
                  </w:divsChild>
                </w:div>
                <w:div w:id="1940142634">
                  <w:marLeft w:val="0"/>
                  <w:marRight w:val="0"/>
                  <w:marTop w:val="0"/>
                  <w:marBottom w:val="0"/>
                  <w:divBdr>
                    <w:top w:val="none" w:sz="0" w:space="0" w:color="auto"/>
                    <w:left w:val="none" w:sz="0" w:space="0" w:color="auto"/>
                    <w:bottom w:val="none" w:sz="0" w:space="0" w:color="auto"/>
                    <w:right w:val="none" w:sz="0" w:space="0" w:color="auto"/>
                  </w:divBdr>
                  <w:divsChild>
                    <w:div w:id="58873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080489">
      <w:bodyDiv w:val="1"/>
      <w:marLeft w:val="0"/>
      <w:marRight w:val="0"/>
      <w:marTop w:val="0"/>
      <w:marBottom w:val="0"/>
      <w:divBdr>
        <w:top w:val="none" w:sz="0" w:space="0" w:color="auto"/>
        <w:left w:val="none" w:sz="0" w:space="0" w:color="auto"/>
        <w:bottom w:val="none" w:sz="0" w:space="0" w:color="auto"/>
        <w:right w:val="none" w:sz="0" w:space="0" w:color="auto"/>
      </w:divBdr>
    </w:div>
    <w:div w:id="714307772">
      <w:bodyDiv w:val="1"/>
      <w:marLeft w:val="0"/>
      <w:marRight w:val="0"/>
      <w:marTop w:val="0"/>
      <w:marBottom w:val="0"/>
      <w:divBdr>
        <w:top w:val="none" w:sz="0" w:space="0" w:color="auto"/>
        <w:left w:val="none" w:sz="0" w:space="0" w:color="auto"/>
        <w:bottom w:val="none" w:sz="0" w:space="0" w:color="auto"/>
        <w:right w:val="none" w:sz="0" w:space="0" w:color="auto"/>
      </w:divBdr>
    </w:div>
    <w:div w:id="782530547">
      <w:bodyDiv w:val="1"/>
      <w:marLeft w:val="0"/>
      <w:marRight w:val="0"/>
      <w:marTop w:val="0"/>
      <w:marBottom w:val="0"/>
      <w:divBdr>
        <w:top w:val="none" w:sz="0" w:space="0" w:color="auto"/>
        <w:left w:val="none" w:sz="0" w:space="0" w:color="auto"/>
        <w:bottom w:val="none" w:sz="0" w:space="0" w:color="auto"/>
        <w:right w:val="none" w:sz="0" w:space="0" w:color="auto"/>
      </w:divBdr>
    </w:div>
    <w:div w:id="792288005">
      <w:bodyDiv w:val="1"/>
      <w:marLeft w:val="0"/>
      <w:marRight w:val="0"/>
      <w:marTop w:val="0"/>
      <w:marBottom w:val="0"/>
      <w:divBdr>
        <w:top w:val="none" w:sz="0" w:space="0" w:color="auto"/>
        <w:left w:val="none" w:sz="0" w:space="0" w:color="auto"/>
        <w:bottom w:val="none" w:sz="0" w:space="0" w:color="auto"/>
        <w:right w:val="none" w:sz="0" w:space="0" w:color="auto"/>
      </w:divBdr>
    </w:div>
    <w:div w:id="803700529">
      <w:bodyDiv w:val="1"/>
      <w:marLeft w:val="0"/>
      <w:marRight w:val="0"/>
      <w:marTop w:val="0"/>
      <w:marBottom w:val="0"/>
      <w:divBdr>
        <w:top w:val="none" w:sz="0" w:space="0" w:color="auto"/>
        <w:left w:val="none" w:sz="0" w:space="0" w:color="auto"/>
        <w:bottom w:val="none" w:sz="0" w:space="0" w:color="auto"/>
        <w:right w:val="none" w:sz="0" w:space="0" w:color="auto"/>
      </w:divBdr>
      <w:divsChild>
        <w:div w:id="48577521">
          <w:marLeft w:val="0"/>
          <w:marRight w:val="0"/>
          <w:marTop w:val="0"/>
          <w:marBottom w:val="0"/>
          <w:divBdr>
            <w:top w:val="none" w:sz="0" w:space="0" w:color="auto"/>
            <w:left w:val="none" w:sz="0" w:space="0" w:color="auto"/>
            <w:bottom w:val="none" w:sz="0" w:space="0" w:color="auto"/>
            <w:right w:val="none" w:sz="0" w:space="0" w:color="auto"/>
          </w:divBdr>
          <w:divsChild>
            <w:div w:id="465898377">
              <w:marLeft w:val="0"/>
              <w:marRight w:val="0"/>
              <w:marTop w:val="0"/>
              <w:marBottom w:val="0"/>
              <w:divBdr>
                <w:top w:val="none" w:sz="0" w:space="0" w:color="auto"/>
                <w:left w:val="none" w:sz="0" w:space="0" w:color="auto"/>
                <w:bottom w:val="none" w:sz="0" w:space="0" w:color="auto"/>
                <w:right w:val="none" w:sz="0" w:space="0" w:color="auto"/>
              </w:divBdr>
              <w:divsChild>
                <w:div w:id="388117084">
                  <w:marLeft w:val="0"/>
                  <w:marRight w:val="0"/>
                  <w:marTop w:val="0"/>
                  <w:marBottom w:val="0"/>
                  <w:divBdr>
                    <w:top w:val="none" w:sz="0" w:space="0" w:color="auto"/>
                    <w:left w:val="none" w:sz="0" w:space="0" w:color="auto"/>
                    <w:bottom w:val="none" w:sz="0" w:space="0" w:color="auto"/>
                    <w:right w:val="none" w:sz="0" w:space="0" w:color="auto"/>
                  </w:divBdr>
                  <w:divsChild>
                    <w:div w:id="19409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171511">
      <w:bodyDiv w:val="1"/>
      <w:marLeft w:val="0"/>
      <w:marRight w:val="0"/>
      <w:marTop w:val="0"/>
      <w:marBottom w:val="0"/>
      <w:divBdr>
        <w:top w:val="none" w:sz="0" w:space="0" w:color="auto"/>
        <w:left w:val="none" w:sz="0" w:space="0" w:color="auto"/>
        <w:bottom w:val="none" w:sz="0" w:space="0" w:color="auto"/>
        <w:right w:val="none" w:sz="0" w:space="0" w:color="auto"/>
      </w:divBdr>
      <w:divsChild>
        <w:div w:id="1108964086">
          <w:marLeft w:val="375"/>
          <w:marRight w:val="0"/>
          <w:marTop w:val="75"/>
          <w:marBottom w:val="75"/>
          <w:divBdr>
            <w:top w:val="none" w:sz="0" w:space="0" w:color="auto"/>
            <w:left w:val="none" w:sz="0" w:space="0" w:color="auto"/>
            <w:bottom w:val="none" w:sz="0" w:space="0" w:color="auto"/>
            <w:right w:val="none" w:sz="0" w:space="0" w:color="auto"/>
          </w:divBdr>
        </w:div>
        <w:div w:id="209850195">
          <w:marLeft w:val="0"/>
          <w:marRight w:val="0"/>
          <w:marTop w:val="0"/>
          <w:marBottom w:val="0"/>
          <w:divBdr>
            <w:top w:val="none" w:sz="0" w:space="0" w:color="auto"/>
            <w:left w:val="none" w:sz="0" w:space="0" w:color="auto"/>
            <w:bottom w:val="none" w:sz="0" w:space="0" w:color="auto"/>
            <w:right w:val="none" w:sz="0" w:space="0" w:color="auto"/>
          </w:divBdr>
        </w:div>
      </w:divsChild>
    </w:div>
    <w:div w:id="820580801">
      <w:bodyDiv w:val="1"/>
      <w:marLeft w:val="0"/>
      <w:marRight w:val="0"/>
      <w:marTop w:val="0"/>
      <w:marBottom w:val="0"/>
      <w:divBdr>
        <w:top w:val="none" w:sz="0" w:space="0" w:color="auto"/>
        <w:left w:val="none" w:sz="0" w:space="0" w:color="auto"/>
        <w:bottom w:val="none" w:sz="0" w:space="0" w:color="auto"/>
        <w:right w:val="none" w:sz="0" w:space="0" w:color="auto"/>
      </w:divBdr>
    </w:div>
    <w:div w:id="864058973">
      <w:bodyDiv w:val="1"/>
      <w:marLeft w:val="0"/>
      <w:marRight w:val="0"/>
      <w:marTop w:val="0"/>
      <w:marBottom w:val="0"/>
      <w:divBdr>
        <w:top w:val="none" w:sz="0" w:space="0" w:color="auto"/>
        <w:left w:val="none" w:sz="0" w:space="0" w:color="auto"/>
        <w:bottom w:val="none" w:sz="0" w:space="0" w:color="auto"/>
        <w:right w:val="none" w:sz="0" w:space="0" w:color="auto"/>
      </w:divBdr>
    </w:div>
    <w:div w:id="944267815">
      <w:bodyDiv w:val="1"/>
      <w:marLeft w:val="0"/>
      <w:marRight w:val="0"/>
      <w:marTop w:val="0"/>
      <w:marBottom w:val="0"/>
      <w:divBdr>
        <w:top w:val="none" w:sz="0" w:space="0" w:color="auto"/>
        <w:left w:val="none" w:sz="0" w:space="0" w:color="auto"/>
        <w:bottom w:val="none" w:sz="0" w:space="0" w:color="auto"/>
        <w:right w:val="none" w:sz="0" w:space="0" w:color="auto"/>
      </w:divBdr>
    </w:div>
    <w:div w:id="1033188218">
      <w:bodyDiv w:val="1"/>
      <w:marLeft w:val="0"/>
      <w:marRight w:val="0"/>
      <w:marTop w:val="0"/>
      <w:marBottom w:val="0"/>
      <w:divBdr>
        <w:top w:val="none" w:sz="0" w:space="0" w:color="auto"/>
        <w:left w:val="none" w:sz="0" w:space="0" w:color="auto"/>
        <w:bottom w:val="none" w:sz="0" w:space="0" w:color="auto"/>
        <w:right w:val="none" w:sz="0" w:space="0" w:color="auto"/>
      </w:divBdr>
    </w:div>
    <w:div w:id="1207453270">
      <w:bodyDiv w:val="1"/>
      <w:marLeft w:val="0"/>
      <w:marRight w:val="0"/>
      <w:marTop w:val="0"/>
      <w:marBottom w:val="0"/>
      <w:divBdr>
        <w:top w:val="none" w:sz="0" w:space="0" w:color="auto"/>
        <w:left w:val="none" w:sz="0" w:space="0" w:color="auto"/>
        <w:bottom w:val="none" w:sz="0" w:space="0" w:color="auto"/>
        <w:right w:val="none" w:sz="0" w:space="0" w:color="auto"/>
      </w:divBdr>
      <w:divsChild>
        <w:div w:id="1898129189">
          <w:marLeft w:val="0"/>
          <w:marRight w:val="0"/>
          <w:marTop w:val="0"/>
          <w:marBottom w:val="0"/>
          <w:divBdr>
            <w:top w:val="none" w:sz="0" w:space="0" w:color="auto"/>
            <w:left w:val="none" w:sz="0" w:space="0" w:color="auto"/>
            <w:bottom w:val="none" w:sz="0" w:space="0" w:color="auto"/>
            <w:right w:val="none" w:sz="0" w:space="0" w:color="auto"/>
          </w:divBdr>
          <w:divsChild>
            <w:div w:id="1120106180">
              <w:marLeft w:val="0"/>
              <w:marRight w:val="0"/>
              <w:marTop w:val="0"/>
              <w:marBottom w:val="0"/>
              <w:divBdr>
                <w:top w:val="none" w:sz="0" w:space="0" w:color="auto"/>
                <w:left w:val="none" w:sz="0" w:space="0" w:color="auto"/>
                <w:bottom w:val="none" w:sz="0" w:space="0" w:color="auto"/>
                <w:right w:val="none" w:sz="0" w:space="0" w:color="auto"/>
              </w:divBdr>
              <w:divsChild>
                <w:div w:id="1599023696">
                  <w:marLeft w:val="0"/>
                  <w:marRight w:val="0"/>
                  <w:marTop w:val="0"/>
                  <w:marBottom w:val="0"/>
                  <w:divBdr>
                    <w:top w:val="none" w:sz="0" w:space="0" w:color="auto"/>
                    <w:left w:val="none" w:sz="0" w:space="0" w:color="auto"/>
                    <w:bottom w:val="none" w:sz="0" w:space="0" w:color="auto"/>
                    <w:right w:val="none" w:sz="0" w:space="0" w:color="auto"/>
                  </w:divBdr>
                  <w:divsChild>
                    <w:div w:id="2685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738369">
      <w:bodyDiv w:val="1"/>
      <w:marLeft w:val="0"/>
      <w:marRight w:val="0"/>
      <w:marTop w:val="0"/>
      <w:marBottom w:val="0"/>
      <w:divBdr>
        <w:top w:val="none" w:sz="0" w:space="0" w:color="auto"/>
        <w:left w:val="none" w:sz="0" w:space="0" w:color="auto"/>
        <w:bottom w:val="none" w:sz="0" w:space="0" w:color="auto"/>
        <w:right w:val="none" w:sz="0" w:space="0" w:color="auto"/>
      </w:divBdr>
    </w:div>
    <w:div w:id="1311246123">
      <w:bodyDiv w:val="1"/>
      <w:marLeft w:val="0"/>
      <w:marRight w:val="0"/>
      <w:marTop w:val="0"/>
      <w:marBottom w:val="0"/>
      <w:divBdr>
        <w:top w:val="none" w:sz="0" w:space="0" w:color="auto"/>
        <w:left w:val="none" w:sz="0" w:space="0" w:color="auto"/>
        <w:bottom w:val="none" w:sz="0" w:space="0" w:color="auto"/>
        <w:right w:val="none" w:sz="0" w:space="0" w:color="auto"/>
      </w:divBdr>
    </w:div>
    <w:div w:id="1395666207">
      <w:bodyDiv w:val="1"/>
      <w:marLeft w:val="0"/>
      <w:marRight w:val="0"/>
      <w:marTop w:val="0"/>
      <w:marBottom w:val="0"/>
      <w:divBdr>
        <w:top w:val="none" w:sz="0" w:space="0" w:color="auto"/>
        <w:left w:val="none" w:sz="0" w:space="0" w:color="auto"/>
        <w:bottom w:val="none" w:sz="0" w:space="0" w:color="auto"/>
        <w:right w:val="none" w:sz="0" w:space="0" w:color="auto"/>
      </w:divBdr>
    </w:div>
    <w:div w:id="1482233382">
      <w:bodyDiv w:val="1"/>
      <w:marLeft w:val="0"/>
      <w:marRight w:val="0"/>
      <w:marTop w:val="0"/>
      <w:marBottom w:val="0"/>
      <w:divBdr>
        <w:top w:val="none" w:sz="0" w:space="0" w:color="auto"/>
        <w:left w:val="none" w:sz="0" w:space="0" w:color="auto"/>
        <w:bottom w:val="none" w:sz="0" w:space="0" w:color="auto"/>
        <w:right w:val="none" w:sz="0" w:space="0" w:color="auto"/>
      </w:divBdr>
    </w:div>
    <w:div w:id="1513105122">
      <w:bodyDiv w:val="1"/>
      <w:marLeft w:val="0"/>
      <w:marRight w:val="0"/>
      <w:marTop w:val="0"/>
      <w:marBottom w:val="0"/>
      <w:divBdr>
        <w:top w:val="none" w:sz="0" w:space="0" w:color="auto"/>
        <w:left w:val="none" w:sz="0" w:space="0" w:color="auto"/>
        <w:bottom w:val="none" w:sz="0" w:space="0" w:color="auto"/>
        <w:right w:val="none" w:sz="0" w:space="0" w:color="auto"/>
      </w:divBdr>
      <w:divsChild>
        <w:div w:id="574125702">
          <w:marLeft w:val="375"/>
          <w:marRight w:val="0"/>
          <w:marTop w:val="75"/>
          <w:marBottom w:val="75"/>
          <w:divBdr>
            <w:top w:val="none" w:sz="0" w:space="0" w:color="auto"/>
            <w:left w:val="none" w:sz="0" w:space="0" w:color="auto"/>
            <w:bottom w:val="none" w:sz="0" w:space="0" w:color="auto"/>
            <w:right w:val="none" w:sz="0" w:space="0" w:color="auto"/>
          </w:divBdr>
        </w:div>
        <w:div w:id="885992997">
          <w:marLeft w:val="0"/>
          <w:marRight w:val="0"/>
          <w:marTop w:val="0"/>
          <w:marBottom w:val="0"/>
          <w:divBdr>
            <w:top w:val="none" w:sz="0" w:space="0" w:color="auto"/>
            <w:left w:val="none" w:sz="0" w:space="0" w:color="auto"/>
            <w:bottom w:val="none" w:sz="0" w:space="0" w:color="auto"/>
            <w:right w:val="none" w:sz="0" w:space="0" w:color="auto"/>
          </w:divBdr>
        </w:div>
      </w:divsChild>
    </w:div>
    <w:div w:id="1518806764">
      <w:bodyDiv w:val="1"/>
      <w:marLeft w:val="0"/>
      <w:marRight w:val="0"/>
      <w:marTop w:val="0"/>
      <w:marBottom w:val="0"/>
      <w:divBdr>
        <w:top w:val="none" w:sz="0" w:space="0" w:color="auto"/>
        <w:left w:val="none" w:sz="0" w:space="0" w:color="auto"/>
        <w:bottom w:val="none" w:sz="0" w:space="0" w:color="auto"/>
        <w:right w:val="none" w:sz="0" w:space="0" w:color="auto"/>
      </w:divBdr>
    </w:div>
    <w:div w:id="1527401199">
      <w:bodyDiv w:val="1"/>
      <w:marLeft w:val="0"/>
      <w:marRight w:val="0"/>
      <w:marTop w:val="0"/>
      <w:marBottom w:val="0"/>
      <w:divBdr>
        <w:top w:val="none" w:sz="0" w:space="0" w:color="auto"/>
        <w:left w:val="none" w:sz="0" w:space="0" w:color="auto"/>
        <w:bottom w:val="none" w:sz="0" w:space="0" w:color="auto"/>
        <w:right w:val="none" w:sz="0" w:space="0" w:color="auto"/>
      </w:divBdr>
    </w:div>
    <w:div w:id="1535070739">
      <w:bodyDiv w:val="1"/>
      <w:marLeft w:val="0"/>
      <w:marRight w:val="0"/>
      <w:marTop w:val="0"/>
      <w:marBottom w:val="0"/>
      <w:divBdr>
        <w:top w:val="none" w:sz="0" w:space="0" w:color="auto"/>
        <w:left w:val="none" w:sz="0" w:space="0" w:color="auto"/>
        <w:bottom w:val="none" w:sz="0" w:space="0" w:color="auto"/>
        <w:right w:val="none" w:sz="0" w:space="0" w:color="auto"/>
      </w:divBdr>
    </w:div>
    <w:div w:id="1562255335">
      <w:bodyDiv w:val="1"/>
      <w:marLeft w:val="0"/>
      <w:marRight w:val="0"/>
      <w:marTop w:val="0"/>
      <w:marBottom w:val="0"/>
      <w:divBdr>
        <w:top w:val="none" w:sz="0" w:space="0" w:color="auto"/>
        <w:left w:val="none" w:sz="0" w:space="0" w:color="auto"/>
        <w:bottom w:val="none" w:sz="0" w:space="0" w:color="auto"/>
        <w:right w:val="none" w:sz="0" w:space="0" w:color="auto"/>
      </w:divBdr>
    </w:div>
    <w:div w:id="1578780366">
      <w:bodyDiv w:val="1"/>
      <w:marLeft w:val="0"/>
      <w:marRight w:val="0"/>
      <w:marTop w:val="0"/>
      <w:marBottom w:val="0"/>
      <w:divBdr>
        <w:top w:val="none" w:sz="0" w:space="0" w:color="auto"/>
        <w:left w:val="none" w:sz="0" w:space="0" w:color="auto"/>
        <w:bottom w:val="none" w:sz="0" w:space="0" w:color="auto"/>
        <w:right w:val="none" w:sz="0" w:space="0" w:color="auto"/>
      </w:divBdr>
    </w:div>
    <w:div w:id="1624993392">
      <w:bodyDiv w:val="1"/>
      <w:marLeft w:val="0"/>
      <w:marRight w:val="0"/>
      <w:marTop w:val="0"/>
      <w:marBottom w:val="0"/>
      <w:divBdr>
        <w:top w:val="none" w:sz="0" w:space="0" w:color="auto"/>
        <w:left w:val="none" w:sz="0" w:space="0" w:color="auto"/>
        <w:bottom w:val="none" w:sz="0" w:space="0" w:color="auto"/>
        <w:right w:val="none" w:sz="0" w:space="0" w:color="auto"/>
      </w:divBdr>
    </w:div>
    <w:div w:id="1639721971">
      <w:bodyDiv w:val="1"/>
      <w:marLeft w:val="0"/>
      <w:marRight w:val="0"/>
      <w:marTop w:val="0"/>
      <w:marBottom w:val="0"/>
      <w:divBdr>
        <w:top w:val="none" w:sz="0" w:space="0" w:color="auto"/>
        <w:left w:val="none" w:sz="0" w:space="0" w:color="auto"/>
        <w:bottom w:val="none" w:sz="0" w:space="0" w:color="auto"/>
        <w:right w:val="none" w:sz="0" w:space="0" w:color="auto"/>
      </w:divBdr>
    </w:div>
    <w:div w:id="1676809978">
      <w:bodyDiv w:val="1"/>
      <w:marLeft w:val="0"/>
      <w:marRight w:val="0"/>
      <w:marTop w:val="0"/>
      <w:marBottom w:val="0"/>
      <w:divBdr>
        <w:top w:val="none" w:sz="0" w:space="0" w:color="auto"/>
        <w:left w:val="none" w:sz="0" w:space="0" w:color="auto"/>
        <w:bottom w:val="none" w:sz="0" w:space="0" w:color="auto"/>
        <w:right w:val="none" w:sz="0" w:space="0" w:color="auto"/>
      </w:divBdr>
    </w:div>
    <w:div w:id="1702510907">
      <w:bodyDiv w:val="1"/>
      <w:marLeft w:val="0"/>
      <w:marRight w:val="0"/>
      <w:marTop w:val="0"/>
      <w:marBottom w:val="0"/>
      <w:divBdr>
        <w:top w:val="none" w:sz="0" w:space="0" w:color="auto"/>
        <w:left w:val="none" w:sz="0" w:space="0" w:color="auto"/>
        <w:bottom w:val="none" w:sz="0" w:space="0" w:color="auto"/>
        <w:right w:val="none" w:sz="0" w:space="0" w:color="auto"/>
      </w:divBdr>
    </w:div>
    <w:div w:id="1758404706">
      <w:bodyDiv w:val="1"/>
      <w:marLeft w:val="0"/>
      <w:marRight w:val="0"/>
      <w:marTop w:val="0"/>
      <w:marBottom w:val="0"/>
      <w:divBdr>
        <w:top w:val="none" w:sz="0" w:space="0" w:color="auto"/>
        <w:left w:val="none" w:sz="0" w:space="0" w:color="auto"/>
        <w:bottom w:val="none" w:sz="0" w:space="0" w:color="auto"/>
        <w:right w:val="none" w:sz="0" w:space="0" w:color="auto"/>
      </w:divBdr>
    </w:div>
    <w:div w:id="1795099340">
      <w:bodyDiv w:val="1"/>
      <w:marLeft w:val="0"/>
      <w:marRight w:val="0"/>
      <w:marTop w:val="0"/>
      <w:marBottom w:val="0"/>
      <w:divBdr>
        <w:top w:val="none" w:sz="0" w:space="0" w:color="auto"/>
        <w:left w:val="none" w:sz="0" w:space="0" w:color="auto"/>
        <w:bottom w:val="none" w:sz="0" w:space="0" w:color="auto"/>
        <w:right w:val="none" w:sz="0" w:space="0" w:color="auto"/>
      </w:divBdr>
    </w:div>
    <w:div w:id="1838231888">
      <w:bodyDiv w:val="1"/>
      <w:marLeft w:val="0"/>
      <w:marRight w:val="0"/>
      <w:marTop w:val="0"/>
      <w:marBottom w:val="0"/>
      <w:divBdr>
        <w:top w:val="none" w:sz="0" w:space="0" w:color="auto"/>
        <w:left w:val="none" w:sz="0" w:space="0" w:color="auto"/>
        <w:bottom w:val="none" w:sz="0" w:space="0" w:color="auto"/>
        <w:right w:val="none" w:sz="0" w:space="0" w:color="auto"/>
      </w:divBdr>
    </w:div>
    <w:div w:id="2017993690">
      <w:bodyDiv w:val="1"/>
      <w:marLeft w:val="0"/>
      <w:marRight w:val="0"/>
      <w:marTop w:val="0"/>
      <w:marBottom w:val="0"/>
      <w:divBdr>
        <w:top w:val="none" w:sz="0" w:space="0" w:color="auto"/>
        <w:left w:val="none" w:sz="0" w:space="0" w:color="auto"/>
        <w:bottom w:val="none" w:sz="0" w:space="0" w:color="auto"/>
        <w:right w:val="none" w:sz="0" w:space="0" w:color="auto"/>
      </w:divBdr>
      <w:divsChild>
        <w:div w:id="1315373976">
          <w:marLeft w:val="0"/>
          <w:marRight w:val="0"/>
          <w:marTop w:val="0"/>
          <w:marBottom w:val="0"/>
          <w:divBdr>
            <w:top w:val="none" w:sz="0" w:space="0" w:color="auto"/>
            <w:left w:val="none" w:sz="0" w:space="0" w:color="auto"/>
            <w:bottom w:val="none" w:sz="0" w:space="0" w:color="auto"/>
            <w:right w:val="none" w:sz="0" w:space="0" w:color="auto"/>
          </w:divBdr>
          <w:divsChild>
            <w:div w:id="70548471">
              <w:marLeft w:val="0"/>
              <w:marRight w:val="0"/>
              <w:marTop w:val="0"/>
              <w:marBottom w:val="0"/>
              <w:divBdr>
                <w:top w:val="none" w:sz="0" w:space="0" w:color="auto"/>
                <w:left w:val="none" w:sz="0" w:space="0" w:color="auto"/>
                <w:bottom w:val="none" w:sz="0" w:space="0" w:color="auto"/>
                <w:right w:val="none" w:sz="0" w:space="0" w:color="auto"/>
              </w:divBdr>
              <w:divsChild>
                <w:div w:id="500899509">
                  <w:marLeft w:val="0"/>
                  <w:marRight w:val="0"/>
                  <w:marTop w:val="0"/>
                  <w:marBottom w:val="0"/>
                  <w:divBdr>
                    <w:top w:val="none" w:sz="0" w:space="0" w:color="auto"/>
                    <w:left w:val="none" w:sz="0" w:space="0" w:color="auto"/>
                    <w:bottom w:val="none" w:sz="0" w:space="0" w:color="auto"/>
                    <w:right w:val="none" w:sz="0" w:space="0" w:color="auto"/>
                  </w:divBdr>
                  <w:divsChild>
                    <w:div w:id="635571842">
                      <w:marLeft w:val="0"/>
                      <w:marRight w:val="0"/>
                      <w:marTop w:val="0"/>
                      <w:marBottom w:val="0"/>
                      <w:divBdr>
                        <w:top w:val="none" w:sz="0" w:space="0" w:color="auto"/>
                        <w:left w:val="none" w:sz="0" w:space="0" w:color="auto"/>
                        <w:bottom w:val="none" w:sz="0" w:space="0" w:color="auto"/>
                        <w:right w:val="none" w:sz="0" w:space="0" w:color="auto"/>
                      </w:divBdr>
                    </w:div>
                    <w:div w:id="707802265">
                      <w:marLeft w:val="0"/>
                      <w:marRight w:val="0"/>
                      <w:marTop w:val="0"/>
                      <w:marBottom w:val="0"/>
                      <w:divBdr>
                        <w:top w:val="none" w:sz="0" w:space="0" w:color="auto"/>
                        <w:left w:val="none" w:sz="0" w:space="0" w:color="auto"/>
                        <w:bottom w:val="none" w:sz="0" w:space="0" w:color="auto"/>
                        <w:right w:val="none" w:sz="0" w:space="0" w:color="auto"/>
                      </w:divBdr>
                    </w:div>
                    <w:div w:id="1536623183">
                      <w:marLeft w:val="0"/>
                      <w:marRight w:val="0"/>
                      <w:marTop w:val="0"/>
                      <w:marBottom w:val="0"/>
                      <w:divBdr>
                        <w:top w:val="none" w:sz="0" w:space="0" w:color="auto"/>
                        <w:left w:val="none" w:sz="0" w:space="0" w:color="auto"/>
                        <w:bottom w:val="none" w:sz="0" w:space="0" w:color="auto"/>
                        <w:right w:val="none" w:sz="0" w:space="0" w:color="auto"/>
                      </w:divBdr>
                    </w:div>
                  </w:divsChild>
                </w:div>
                <w:div w:id="567611900">
                  <w:marLeft w:val="0"/>
                  <w:marRight w:val="0"/>
                  <w:marTop w:val="0"/>
                  <w:marBottom w:val="0"/>
                  <w:divBdr>
                    <w:top w:val="none" w:sz="0" w:space="0" w:color="auto"/>
                    <w:left w:val="none" w:sz="0" w:space="0" w:color="auto"/>
                    <w:bottom w:val="none" w:sz="0" w:space="0" w:color="auto"/>
                    <w:right w:val="none" w:sz="0" w:space="0" w:color="auto"/>
                  </w:divBdr>
                  <w:divsChild>
                    <w:div w:id="4726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199618">
      <w:bodyDiv w:val="1"/>
      <w:marLeft w:val="0"/>
      <w:marRight w:val="0"/>
      <w:marTop w:val="0"/>
      <w:marBottom w:val="0"/>
      <w:divBdr>
        <w:top w:val="none" w:sz="0" w:space="0" w:color="auto"/>
        <w:left w:val="none" w:sz="0" w:space="0" w:color="auto"/>
        <w:bottom w:val="none" w:sz="0" w:space="0" w:color="auto"/>
        <w:right w:val="none" w:sz="0" w:space="0" w:color="auto"/>
      </w:divBdr>
    </w:div>
    <w:div w:id="2133086411">
      <w:bodyDiv w:val="1"/>
      <w:marLeft w:val="0"/>
      <w:marRight w:val="0"/>
      <w:marTop w:val="0"/>
      <w:marBottom w:val="0"/>
      <w:divBdr>
        <w:top w:val="none" w:sz="0" w:space="0" w:color="auto"/>
        <w:left w:val="none" w:sz="0" w:space="0" w:color="auto"/>
        <w:bottom w:val="none" w:sz="0" w:space="0" w:color="auto"/>
        <w:right w:val="none" w:sz="0" w:space="0" w:color="auto"/>
      </w:divBdr>
    </w:div>
    <w:div w:id="2142922247">
      <w:bodyDiv w:val="1"/>
      <w:marLeft w:val="0"/>
      <w:marRight w:val="0"/>
      <w:marTop w:val="0"/>
      <w:marBottom w:val="0"/>
      <w:divBdr>
        <w:top w:val="none" w:sz="0" w:space="0" w:color="auto"/>
        <w:left w:val="none" w:sz="0" w:space="0" w:color="auto"/>
        <w:bottom w:val="none" w:sz="0" w:space="0" w:color="auto"/>
        <w:right w:val="none" w:sz="0" w:space="0" w:color="auto"/>
      </w:divBdr>
    </w:div>
    <w:div w:id="2146271090">
      <w:bodyDiv w:val="1"/>
      <w:marLeft w:val="0"/>
      <w:marRight w:val="0"/>
      <w:marTop w:val="0"/>
      <w:marBottom w:val="0"/>
      <w:divBdr>
        <w:top w:val="none" w:sz="0" w:space="0" w:color="auto"/>
        <w:left w:val="none" w:sz="0" w:space="0" w:color="auto"/>
        <w:bottom w:val="none" w:sz="0" w:space="0" w:color="auto"/>
        <w:right w:val="none" w:sz="0" w:space="0" w:color="auto"/>
      </w:divBdr>
      <w:divsChild>
        <w:div w:id="1066147939">
          <w:marLeft w:val="0"/>
          <w:marRight w:val="0"/>
          <w:marTop w:val="0"/>
          <w:marBottom w:val="0"/>
          <w:divBdr>
            <w:top w:val="none" w:sz="0" w:space="0" w:color="auto"/>
            <w:left w:val="none" w:sz="0" w:space="0" w:color="auto"/>
            <w:bottom w:val="none" w:sz="0" w:space="0" w:color="auto"/>
            <w:right w:val="none" w:sz="0" w:space="0" w:color="auto"/>
          </w:divBdr>
          <w:divsChild>
            <w:div w:id="1477987728">
              <w:marLeft w:val="0"/>
              <w:marRight w:val="0"/>
              <w:marTop w:val="0"/>
              <w:marBottom w:val="0"/>
              <w:divBdr>
                <w:top w:val="none" w:sz="0" w:space="0" w:color="auto"/>
                <w:left w:val="none" w:sz="0" w:space="0" w:color="auto"/>
                <w:bottom w:val="none" w:sz="0" w:space="0" w:color="auto"/>
                <w:right w:val="none" w:sz="0" w:space="0" w:color="auto"/>
              </w:divBdr>
              <w:divsChild>
                <w:div w:id="431322419">
                  <w:marLeft w:val="0"/>
                  <w:marRight w:val="0"/>
                  <w:marTop w:val="0"/>
                  <w:marBottom w:val="0"/>
                  <w:divBdr>
                    <w:top w:val="none" w:sz="0" w:space="0" w:color="auto"/>
                    <w:left w:val="none" w:sz="0" w:space="0" w:color="auto"/>
                    <w:bottom w:val="none" w:sz="0" w:space="0" w:color="auto"/>
                    <w:right w:val="none" w:sz="0" w:space="0" w:color="auto"/>
                  </w:divBdr>
                  <w:divsChild>
                    <w:div w:id="1390689437">
                      <w:marLeft w:val="0"/>
                      <w:marRight w:val="0"/>
                      <w:marTop w:val="0"/>
                      <w:marBottom w:val="0"/>
                      <w:divBdr>
                        <w:top w:val="none" w:sz="0" w:space="0" w:color="auto"/>
                        <w:left w:val="none" w:sz="0" w:space="0" w:color="auto"/>
                        <w:bottom w:val="none" w:sz="0" w:space="0" w:color="auto"/>
                        <w:right w:val="none" w:sz="0" w:space="0" w:color="auto"/>
                      </w:divBdr>
                    </w:div>
                    <w:div w:id="1625456352">
                      <w:marLeft w:val="0"/>
                      <w:marRight w:val="0"/>
                      <w:marTop w:val="0"/>
                      <w:marBottom w:val="0"/>
                      <w:divBdr>
                        <w:top w:val="none" w:sz="0" w:space="0" w:color="auto"/>
                        <w:left w:val="none" w:sz="0" w:space="0" w:color="auto"/>
                        <w:bottom w:val="none" w:sz="0" w:space="0" w:color="auto"/>
                        <w:right w:val="none" w:sz="0" w:space="0" w:color="auto"/>
                      </w:divBdr>
                    </w:div>
                    <w:div w:id="274100976">
                      <w:marLeft w:val="0"/>
                      <w:marRight w:val="0"/>
                      <w:marTop w:val="0"/>
                      <w:marBottom w:val="0"/>
                      <w:divBdr>
                        <w:top w:val="none" w:sz="0" w:space="0" w:color="auto"/>
                        <w:left w:val="none" w:sz="0" w:space="0" w:color="auto"/>
                        <w:bottom w:val="none" w:sz="0" w:space="0" w:color="auto"/>
                        <w:right w:val="none" w:sz="0" w:space="0" w:color="auto"/>
                      </w:divBdr>
                    </w:div>
                  </w:divsChild>
                </w:div>
                <w:div w:id="542834974">
                  <w:marLeft w:val="0"/>
                  <w:marRight w:val="0"/>
                  <w:marTop w:val="0"/>
                  <w:marBottom w:val="0"/>
                  <w:divBdr>
                    <w:top w:val="none" w:sz="0" w:space="0" w:color="auto"/>
                    <w:left w:val="none" w:sz="0" w:space="0" w:color="auto"/>
                    <w:bottom w:val="none" w:sz="0" w:space="0" w:color="auto"/>
                    <w:right w:val="none" w:sz="0" w:space="0" w:color="auto"/>
                  </w:divBdr>
                  <w:divsChild>
                    <w:div w:id="16604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ADE4C2E2707447B9CB82004C220B41" ma:contentTypeVersion="6" ma:contentTypeDescription="Create a new document." ma:contentTypeScope="" ma:versionID="a3a865ef775eecf1bdb5dca3a38a9c6a">
  <xsd:schema xmlns:xsd="http://www.w3.org/2001/XMLSchema" xmlns:xs="http://www.w3.org/2001/XMLSchema" xmlns:p="http://schemas.microsoft.com/office/2006/metadata/properties" xmlns:ns2="792d42a6-aaf2-4196-8a7a-851fc6fc89e3" xmlns:ns3="1abeb5eb-6b4d-496d-8711-34d40d04ae0e" targetNamespace="http://schemas.microsoft.com/office/2006/metadata/properties" ma:root="true" ma:fieldsID="aa1e0aac400fcd42d4dc4ba7ac488a0f" ns2:_="" ns3:_="">
    <xsd:import namespace="792d42a6-aaf2-4196-8a7a-851fc6fc89e3"/>
    <xsd:import namespace="1abeb5eb-6b4d-496d-8711-34d40d04ae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d42a6-aaf2-4196-8a7a-851fc6fc8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beb5eb-6b4d-496d-8711-34d40d04ae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EPA21</b:Tag>
    <b:SourceType>Report</b:SourceType>
    <b:Guid>{6A4C08E5-2D02-48BF-A63C-115077C0C375}</b:Guid>
    <b:Author>
      <b:Author>
        <b:NameList>
          <b:Person>
            <b:Last>EPA</b:Last>
          </b:Person>
        </b:NameList>
      </b:Author>
    </b:Author>
    <b:Title>EnergyStar Windows, Doors, and Skylights Version 7.0 Criteria Analysis Report</b:Title>
    <b:Year>2021</b:Year>
    <b:RefOrder>4</b:RefOrder>
  </b:Source>
  <b:Source>
    <b:Tag>NEEA</b:Tag>
    <b:SourceType>Report</b:SourceType>
    <b:Guid>{66D97B02-2DC1-47A1-95EF-B7198F741A40}</b:Guid>
    <b:Author>
      <b:Author>
        <b:Corporate>NEEA</b:Corporate>
      </b:Author>
    </b:Author>
    <b:Title>Thin Triple Pane Windows: A Market Transformation Strategy for Affordable R5 Windows</b:Title>
    <b:URL>https://neea.org/resources/thin-triple-pane-windows-a-market-transformation-strategy-for-affordable-r5-windows</b:URL>
    <b:Year>2020</b:Year>
    <b:RefOrder>1</b:RefOrder>
  </b:Source>
  <b:Source>
    <b:Tag>EPA1</b:Tag>
    <b:SourceType>Report</b:SourceType>
    <b:Guid>{7754C9E0-48BC-4EA9-9E73-F405FC898287}</b:Guid>
    <b:Author>
      <b:Author>
        <b:NameList>
          <b:Person>
            <b:Last>EPA</b:Last>
          </b:Person>
        </b:NameList>
      </b:Author>
    </b:Author>
    <b:Title>EnergyStar Product Specification Residential Windows, Doors, and Skylights Eligibility Criteria Draft 1 Version 7.0</b:Title>
    <b:Year>2019</b:Year>
    <b:URL>https://www.energystar.gov/sites/default/files/asset/document/ES_Residential_WDS_Draft%201_V7_Spec.pdf</b:URL>
    <b:RefOrder>3</b:RefOrder>
  </b:Source>
  <b:Source>
    <b:Tag>EPA3</b:Tag>
    <b:SourceType>Report</b:SourceType>
    <b:Guid>{4E5CD7C0-C932-4B7A-BBC7-7D8F6A058554}</b:Guid>
    <b:Author>
      <b:Author>
        <b:NameList>
          <b:Person>
            <b:Last>EPA</b:Last>
          </b:Person>
        </b:NameList>
      </b:Author>
    </b:Author>
    <b:Title>EnergyStar Windows, Doors, and Skylights Version 7.0 Specification Discussion Guide</b:Title>
    <b:Year>2019</b:Year>
    <b:URL>https://www.energystar.gov/sites/default/files/asset/document/ENERGY%20STAR%20Version%207%20Window%20Door%20Skylight%20Discussion%20Guide.pdf</b:URL>
    <b:RefOrder>2</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CE7B84-6104-43C6-8E45-3BD13A3D98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E938FE-AC0B-4B04-8D84-9E4FC2501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d42a6-aaf2-4196-8a7a-851fc6fc89e3"/>
    <ds:schemaRef ds:uri="1abeb5eb-6b4d-496d-8711-34d40d04a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14A5F9-635A-4772-9DB3-B63E08047E70}">
  <ds:schemaRefs>
    <ds:schemaRef ds:uri="http://schemas.openxmlformats.org/officeDocument/2006/bibliography"/>
  </ds:schemaRefs>
</ds:datastoreItem>
</file>

<file path=customXml/itemProps4.xml><?xml version="1.0" encoding="utf-8"?>
<ds:datastoreItem xmlns:ds="http://schemas.openxmlformats.org/officeDocument/2006/customXml" ds:itemID="{4CA4D6AA-F07C-4EE8-8B66-95C00A3F63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Farrell</dc:creator>
  <cp:keywords/>
  <cp:lastModifiedBy>Mark Lyles</cp:lastModifiedBy>
  <cp:revision>4</cp:revision>
  <cp:lastPrinted>2018-03-07T18:18:00Z</cp:lastPrinted>
  <dcterms:created xsi:type="dcterms:W3CDTF">2022-04-05T16:17:00Z</dcterms:created>
  <dcterms:modified xsi:type="dcterms:W3CDTF">2022-04-05T18:47:00Z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0x0101007EADE4C2E2707447B9CB82004C220B41</vt:lpwstr>
  </property>
  <property fmtid="{D5CDD505-2E9C-101B-9397-08002B2CF9AE}" pid="3" name="Order">
    <vt:r8>3011600</vt:r8>
  </property>
</Properties>
</file>