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7D52" w14:textId="542BB91D" w:rsidR="007574AD" w:rsidRPr="007574AD" w:rsidRDefault="007574AD" w:rsidP="007574AD">
      <w:pPr>
        <w:jc w:val="center"/>
        <w:rPr>
          <w:b/>
          <w:bCs/>
          <w:sz w:val="28"/>
          <w:szCs w:val="28"/>
        </w:rPr>
      </w:pPr>
      <w:r w:rsidRPr="007574AD">
        <w:rPr>
          <w:b/>
          <w:bCs/>
          <w:sz w:val="28"/>
          <w:szCs w:val="28"/>
        </w:rPr>
        <w:t xml:space="preserve">Proposed Modification to </w:t>
      </w:r>
      <w:r w:rsidRPr="007574AD">
        <w:rPr>
          <w:b/>
          <w:bCs/>
          <w:sz w:val="28"/>
          <w:szCs w:val="28"/>
        </w:rPr>
        <w:t>REPI-157-21</w:t>
      </w:r>
    </w:p>
    <w:p w14:paraId="7D3AACBF" w14:textId="22419FE9" w:rsidR="007574AD" w:rsidRDefault="007574AD" w:rsidP="007574AD">
      <w:r>
        <w:t xml:space="preserve">Revise </w:t>
      </w:r>
      <w:r>
        <w:t xml:space="preserve">REPI-157-21 </w:t>
      </w:r>
      <w:r>
        <w:t>as follows:</w:t>
      </w:r>
    </w:p>
    <w:p w14:paraId="4F0205B6" w14:textId="77777777" w:rsidR="007574AD" w:rsidRPr="007574AD" w:rsidRDefault="007574AD" w:rsidP="007574AD">
      <w:pPr>
        <w:jc w:val="center"/>
        <w:rPr>
          <w:b/>
          <w:bCs/>
        </w:rPr>
      </w:pPr>
      <w:r w:rsidRPr="007574AD">
        <w:rPr>
          <w:b/>
          <w:bCs/>
        </w:rPr>
        <w:t>APPENDIX RC (APPENDIX AX)</w:t>
      </w:r>
    </w:p>
    <w:p w14:paraId="1BA1E75E" w14:textId="77777777" w:rsidR="007574AD" w:rsidRPr="007574AD" w:rsidRDefault="007574AD" w:rsidP="007574AD">
      <w:pPr>
        <w:jc w:val="center"/>
        <w:rPr>
          <w:b/>
          <w:bCs/>
        </w:rPr>
      </w:pPr>
      <w:r w:rsidRPr="007574AD">
        <w:rPr>
          <w:b/>
          <w:bCs/>
        </w:rPr>
        <w:t>NET ZERO ENERGY RESIDENTIAL BUILDING PROVISIONS</w:t>
      </w:r>
    </w:p>
    <w:p w14:paraId="2D35C93B" w14:textId="77777777" w:rsidR="007574AD" w:rsidRPr="007574AD" w:rsidRDefault="007574AD" w:rsidP="007574AD">
      <w:pPr>
        <w:jc w:val="center"/>
        <w:rPr>
          <w:b/>
          <w:bCs/>
        </w:rPr>
      </w:pPr>
      <w:r w:rsidRPr="007574AD">
        <w:rPr>
          <w:b/>
          <w:bCs/>
        </w:rPr>
        <w:t>SECTION RC102 (AX102)</w:t>
      </w:r>
    </w:p>
    <w:p w14:paraId="0375AC3C" w14:textId="77777777" w:rsidR="007574AD" w:rsidRPr="007574AD" w:rsidRDefault="007574AD" w:rsidP="007574AD">
      <w:pPr>
        <w:jc w:val="center"/>
        <w:rPr>
          <w:b/>
          <w:bCs/>
        </w:rPr>
      </w:pPr>
      <w:r w:rsidRPr="007574AD">
        <w:rPr>
          <w:b/>
          <w:bCs/>
        </w:rPr>
        <w:t>NET ZERO ENERGY RESIDENTIAL BUILDINGS</w:t>
      </w:r>
    </w:p>
    <w:p w14:paraId="5CFB01A0" w14:textId="4116B46B" w:rsidR="009A61F7" w:rsidRDefault="009A61F7" w:rsidP="009A61F7">
      <w:r w:rsidRPr="0074659C">
        <w:rPr>
          <w:b/>
          <w:bCs/>
        </w:rPr>
        <w:t>RC102.1 General.</w:t>
      </w:r>
      <w:r>
        <w:t xml:space="preserve"> New </w:t>
      </w:r>
      <w:r w:rsidRPr="009A61F7">
        <w:rPr>
          <w:i/>
          <w:iCs/>
        </w:rPr>
        <w:t>residential buildings</w:t>
      </w:r>
      <w:r>
        <w:t xml:space="preserve"> shall comply with </w:t>
      </w:r>
      <w:r w:rsidRPr="001E088C">
        <w:rPr>
          <w:u w:val="single"/>
        </w:rPr>
        <w:t xml:space="preserve">the requirements </w:t>
      </w:r>
      <w:r w:rsidRPr="009A61F7">
        <w:t xml:space="preserve">of </w:t>
      </w:r>
      <w:r w:rsidRPr="009A61F7">
        <w:t>Sections</w:t>
      </w:r>
      <w:r>
        <w:t xml:space="preserve"> </w:t>
      </w:r>
      <w:r w:rsidRPr="009A61F7">
        <w:rPr>
          <w:strike/>
        </w:rPr>
        <w:t>Section</w:t>
      </w:r>
      <w:r>
        <w:t xml:space="preserve"> RC102.2 </w:t>
      </w:r>
      <w:r w:rsidRPr="001E088C">
        <w:rPr>
          <w:u w:val="single"/>
        </w:rPr>
        <w:t>through RC102.</w:t>
      </w:r>
      <w:r>
        <w:rPr>
          <w:u w:val="single"/>
        </w:rPr>
        <w:t>3</w:t>
      </w:r>
      <w:r>
        <w:t xml:space="preserve">. </w:t>
      </w:r>
    </w:p>
    <w:p w14:paraId="4892C079" w14:textId="77777777" w:rsidR="0085279F" w:rsidRDefault="0085279F" w:rsidP="007574AD">
      <w:r>
        <w:t>RC102.2 (AX102.2) Requirements. New residential buildings shall comply with all of the following: 1. Table R406.2, 2. ASHRAE/IES Standard 90.2, 3. the ERI requirements of ASHRAE/IES 90.2 Table 6-1 without the use of on-site power production (OPP), and 4. achieve an ERI of less than or equal to zero through additional efficiency measures, the use of OPP, or a combination of the two.</w:t>
      </w:r>
    </w:p>
    <w:p w14:paraId="1830EA7D" w14:textId="08268396" w:rsidR="007574AD" w:rsidRDefault="007574AD" w:rsidP="007574AD">
      <w:r w:rsidRPr="007574AD">
        <w:rPr>
          <w:b/>
          <w:bCs/>
        </w:rPr>
        <w:t>RC102.2 (AX102.2) Requirements.</w:t>
      </w:r>
      <w:r>
        <w:t xml:space="preserve"> New residential buildings shall comply with </w:t>
      </w:r>
      <w:r w:rsidRPr="0085279F">
        <w:rPr>
          <w:strike/>
        </w:rPr>
        <w:t>all of</w:t>
      </w:r>
      <w:r>
        <w:t xml:space="preserve"> the following:</w:t>
      </w:r>
    </w:p>
    <w:p w14:paraId="27A07FCC" w14:textId="20ED82E2" w:rsidR="007574AD" w:rsidRDefault="007574AD" w:rsidP="009A61F7">
      <w:pPr>
        <w:ind w:left="720"/>
      </w:pPr>
      <w:r>
        <w:t>1. Table R406.2,</w:t>
      </w:r>
      <w:r w:rsidR="009A61F7">
        <w:t xml:space="preserve"> </w:t>
      </w:r>
      <w:r w:rsidR="009A61F7" w:rsidRPr="009A61F7">
        <w:rPr>
          <w:u w:val="single"/>
        </w:rPr>
        <w:t>and</w:t>
      </w:r>
    </w:p>
    <w:p w14:paraId="14FBDC39" w14:textId="61D66110" w:rsidR="0085279F" w:rsidRDefault="0085279F" w:rsidP="0085279F">
      <w:pPr>
        <w:ind w:left="720"/>
      </w:pPr>
      <w:r w:rsidRPr="0085279F">
        <w:t xml:space="preserve">2. </w:t>
      </w:r>
      <w:r w:rsidRPr="0085279F">
        <w:rPr>
          <w:strike/>
        </w:rPr>
        <w:t>ASHRAE/IES Standard 90.2,</w:t>
      </w:r>
      <w:r w:rsidRPr="0085279F">
        <w:t xml:space="preserve"> </w:t>
      </w:r>
      <w:r w:rsidRPr="0085279F">
        <w:rPr>
          <w:u w:val="single"/>
        </w:rPr>
        <w:t>One of</w:t>
      </w:r>
      <w:r>
        <w:t xml:space="preserve"> </w:t>
      </w:r>
    </w:p>
    <w:p w14:paraId="1D3C3653" w14:textId="56BC507F" w:rsidR="0085279F" w:rsidRPr="0085279F" w:rsidRDefault="0085279F" w:rsidP="0085279F">
      <w:pPr>
        <w:ind w:left="1440"/>
        <w:rPr>
          <w:u w:val="single"/>
        </w:rPr>
      </w:pPr>
      <w:r w:rsidRPr="0085279F">
        <w:rPr>
          <w:u w:val="single"/>
        </w:rPr>
        <w:t>a) The ERI not including OPP requirements of Table RC102.2</w:t>
      </w:r>
      <w:r w:rsidR="00441190">
        <w:rPr>
          <w:u w:val="single"/>
        </w:rPr>
        <w:t>, or</w:t>
      </w:r>
    </w:p>
    <w:p w14:paraId="33D3A702" w14:textId="29FCC9CC" w:rsidR="0085279F" w:rsidRPr="0085279F" w:rsidRDefault="0085279F" w:rsidP="0085279F">
      <w:pPr>
        <w:ind w:left="1440"/>
        <w:rPr>
          <w:u w:val="single"/>
        </w:rPr>
      </w:pPr>
      <w:r w:rsidRPr="0085279F">
        <w:rPr>
          <w:u w:val="single"/>
        </w:rPr>
        <w:t>b) The requirements of ASHRAE/IES Standard 90.2, including the ERI requirements of ASHRAE/IES 90.2 Table 6-1 without the use of on-site power production (OPP)</w:t>
      </w:r>
    </w:p>
    <w:p w14:paraId="6DB3489B" w14:textId="77777777" w:rsidR="0085279F" w:rsidRPr="0085279F" w:rsidRDefault="0085279F" w:rsidP="009A61F7">
      <w:pPr>
        <w:ind w:left="720"/>
        <w:rPr>
          <w:strike/>
        </w:rPr>
      </w:pPr>
      <w:r w:rsidRPr="0085279F">
        <w:rPr>
          <w:strike/>
        </w:rPr>
        <w:t xml:space="preserve">3. the ERI requirements of ASHRAE/IES 90.2 Table 6-1 without the use of on-site power production (OPP), and </w:t>
      </w:r>
    </w:p>
    <w:p w14:paraId="0BE2A396" w14:textId="77777777" w:rsidR="0085279F" w:rsidRPr="0085279F" w:rsidRDefault="0085279F" w:rsidP="009A61F7">
      <w:pPr>
        <w:ind w:left="720"/>
        <w:rPr>
          <w:strike/>
        </w:rPr>
      </w:pPr>
      <w:r w:rsidRPr="0085279F">
        <w:rPr>
          <w:strike/>
        </w:rPr>
        <w:t>4. achieve an ERI of less than or equal to zero through additional efficiency measures, the use of OPP, or a combination of the two.</w:t>
      </w:r>
    </w:p>
    <w:p w14:paraId="7A8E4BB3" w14:textId="5F41109F" w:rsidR="00A2212E" w:rsidRPr="00A2212E" w:rsidRDefault="00A2212E" w:rsidP="007574AD">
      <w:pPr>
        <w:rPr>
          <w:u w:val="single"/>
        </w:rPr>
      </w:pPr>
      <w:r w:rsidRPr="001E088C">
        <w:rPr>
          <w:rFonts w:cstheme="minorHAnsi"/>
          <w:b/>
          <w:bCs/>
          <w:u w:val="single"/>
        </w:rPr>
        <w:t xml:space="preserve">RC102.3 </w:t>
      </w:r>
      <w:r w:rsidR="00EF51C4">
        <w:rPr>
          <w:rFonts w:cstheme="minorHAnsi"/>
          <w:b/>
          <w:bCs/>
          <w:u w:val="single"/>
        </w:rPr>
        <w:t>(AX102.3)</w:t>
      </w:r>
      <w:r w:rsidR="00441190">
        <w:rPr>
          <w:rFonts w:cstheme="minorHAnsi"/>
          <w:b/>
          <w:bCs/>
          <w:u w:val="single"/>
        </w:rPr>
        <w:t xml:space="preserve"> </w:t>
      </w:r>
      <w:r w:rsidRPr="001E088C">
        <w:rPr>
          <w:rFonts w:cstheme="minorHAnsi"/>
          <w:b/>
          <w:bCs/>
          <w:u w:val="single"/>
        </w:rPr>
        <w:t>On-site Power Production.</w:t>
      </w:r>
      <w:r>
        <w:rPr>
          <w:rFonts w:cstheme="minorHAnsi"/>
          <w:u w:val="single"/>
        </w:rPr>
        <w:t xml:space="preserve"> New residential buildings shall a</w:t>
      </w:r>
      <w:r w:rsidRPr="001E088C">
        <w:rPr>
          <w:rFonts w:cstheme="minorHAnsi"/>
          <w:u w:val="single"/>
        </w:rPr>
        <w:t xml:space="preserve">chieve an ERI of less than or equal to zero through additional efficiency measures and the use of OPP </w:t>
      </w:r>
      <w:r w:rsidR="00441190" w:rsidRPr="00441190">
        <w:rPr>
          <w:rFonts w:cstheme="minorHAnsi"/>
          <w:u w:val="single"/>
        </w:rPr>
        <w:t>or a combination of the two.</w:t>
      </w:r>
    </w:p>
    <w:p w14:paraId="66C408AF" w14:textId="57FF7522" w:rsidR="007574AD" w:rsidRDefault="007574AD" w:rsidP="00EF51C4">
      <w:pPr>
        <w:ind w:left="720"/>
      </w:pPr>
      <w:r w:rsidRPr="00A2212E">
        <w:rPr>
          <w:b/>
          <w:bCs/>
          <w:strike/>
        </w:rPr>
        <w:t>RC102.2.1 (AX102.2.1)</w:t>
      </w:r>
      <w:r>
        <w:t xml:space="preserve"> </w:t>
      </w:r>
      <w:r w:rsidR="00EF51C4" w:rsidRPr="00EF51C4">
        <w:rPr>
          <w:b/>
          <w:bCs/>
          <w:u w:val="single"/>
        </w:rPr>
        <w:t>RC102.3.1 (AX102.3.1)</w:t>
      </w:r>
      <w:r w:rsidR="00441190">
        <w:rPr>
          <w:b/>
          <w:bCs/>
          <w:u w:val="single"/>
        </w:rPr>
        <w:t xml:space="preserve"> </w:t>
      </w:r>
      <w:r w:rsidRPr="00A2212E">
        <w:rPr>
          <w:b/>
          <w:bCs/>
        </w:rPr>
        <w:t>Adjusted On-site Power Production Calculation.</w:t>
      </w:r>
      <w:r>
        <w:t xml:space="preserve"> Where Energy Rating Index (ERI) values for on-site power production (OPP) include Community Renewable Energy Facility (CREF), Renewable</w:t>
      </w:r>
      <w:r w:rsidR="00A2212E">
        <w:t xml:space="preserve"> </w:t>
      </w:r>
      <w:r>
        <w:t>Energy Purchase Contract (REPC), or both, an adjusted OPP shall be calculated in accordance with Equation RC-1.</w:t>
      </w:r>
    </w:p>
    <w:p w14:paraId="69108E50" w14:textId="77777777" w:rsidR="00A2212E" w:rsidRDefault="00A2212E" w:rsidP="007574AD"/>
    <w:p w14:paraId="4FF07BFF" w14:textId="77777777" w:rsidR="00A2212E" w:rsidRDefault="00A2212E" w:rsidP="007574AD"/>
    <w:p w14:paraId="274C1EBB" w14:textId="77777777" w:rsidR="00A2212E" w:rsidRDefault="00A2212E" w:rsidP="007574AD"/>
    <w:p w14:paraId="782C986D" w14:textId="77777777" w:rsidR="00A2212E" w:rsidRDefault="00A2212E" w:rsidP="007574AD"/>
    <w:p w14:paraId="3C05F82D" w14:textId="634EE850" w:rsidR="007574AD" w:rsidRPr="00EF51C4" w:rsidRDefault="007574AD" w:rsidP="00EF51C4">
      <w:pPr>
        <w:jc w:val="center"/>
        <w:rPr>
          <w:b/>
          <w:bCs/>
          <w:u w:val="single"/>
        </w:rPr>
      </w:pPr>
      <w:r w:rsidRPr="00EF51C4">
        <w:rPr>
          <w:b/>
          <w:bCs/>
          <w:u w:val="single"/>
        </w:rPr>
        <w:lastRenderedPageBreak/>
        <w:t xml:space="preserve">TABLE RC102.2 MAXIMUM ENERGY RATING </w:t>
      </w:r>
      <w:proofErr w:type="spellStart"/>
      <w:r w:rsidRPr="00EF51C4">
        <w:rPr>
          <w:b/>
          <w:bCs/>
          <w:u w:val="single"/>
        </w:rPr>
        <w:t>INDEX</w:t>
      </w:r>
      <w:r w:rsidR="00441190" w:rsidRPr="00441190">
        <w:rPr>
          <w:b/>
          <w:bCs/>
          <w:u w:val="single"/>
          <w:vertAlign w:val="superscript"/>
        </w:rPr>
        <w:t>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51C4" w:rsidRPr="00441190" w14:paraId="0B8FDC5E" w14:textId="77777777" w:rsidTr="00EF51C4">
        <w:tc>
          <w:tcPr>
            <w:tcW w:w="3116" w:type="dxa"/>
          </w:tcPr>
          <w:p w14:paraId="266ADD62" w14:textId="482BB493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CLIMATE ZONE</w:t>
            </w:r>
          </w:p>
        </w:tc>
        <w:tc>
          <w:tcPr>
            <w:tcW w:w="3117" w:type="dxa"/>
          </w:tcPr>
          <w:p w14:paraId="6CBBC241" w14:textId="59289A3C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ENERGY RATING INDEX NOT INCLUDING OPP</w:t>
            </w:r>
          </w:p>
        </w:tc>
        <w:tc>
          <w:tcPr>
            <w:tcW w:w="3117" w:type="dxa"/>
          </w:tcPr>
          <w:p w14:paraId="7A1826A7" w14:textId="4BC6C44F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ENERGY RATING INDEX INCLUDING ADJUSTED OPP (as proposed)</w:t>
            </w:r>
          </w:p>
        </w:tc>
      </w:tr>
      <w:tr w:rsidR="00EF51C4" w:rsidRPr="00441190" w14:paraId="3AD627BD" w14:textId="77777777" w:rsidTr="00EF51C4">
        <w:tc>
          <w:tcPr>
            <w:tcW w:w="3116" w:type="dxa"/>
          </w:tcPr>
          <w:p w14:paraId="2DC77187" w14:textId="2365FB78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1</w:t>
            </w:r>
          </w:p>
        </w:tc>
        <w:tc>
          <w:tcPr>
            <w:tcW w:w="3117" w:type="dxa"/>
          </w:tcPr>
          <w:p w14:paraId="575B1C1D" w14:textId="46B94589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43</w:t>
            </w:r>
          </w:p>
        </w:tc>
        <w:tc>
          <w:tcPr>
            <w:tcW w:w="3117" w:type="dxa"/>
          </w:tcPr>
          <w:p w14:paraId="5D5256BB" w14:textId="59ED0052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0</w:t>
            </w:r>
          </w:p>
        </w:tc>
      </w:tr>
      <w:tr w:rsidR="00EF51C4" w:rsidRPr="00441190" w14:paraId="7CE742DB" w14:textId="77777777" w:rsidTr="00EF51C4">
        <w:tc>
          <w:tcPr>
            <w:tcW w:w="3116" w:type="dxa"/>
          </w:tcPr>
          <w:p w14:paraId="2905B3D4" w14:textId="1A6CEC3C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2</w:t>
            </w:r>
          </w:p>
        </w:tc>
        <w:tc>
          <w:tcPr>
            <w:tcW w:w="3117" w:type="dxa"/>
          </w:tcPr>
          <w:p w14:paraId="5AD08FE6" w14:textId="33AE2C62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45</w:t>
            </w:r>
          </w:p>
        </w:tc>
        <w:tc>
          <w:tcPr>
            <w:tcW w:w="3117" w:type="dxa"/>
          </w:tcPr>
          <w:p w14:paraId="0E2D5A20" w14:textId="7432389B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0</w:t>
            </w:r>
          </w:p>
        </w:tc>
      </w:tr>
      <w:tr w:rsidR="00EF51C4" w:rsidRPr="00441190" w14:paraId="4F42A744" w14:textId="77777777" w:rsidTr="00EF51C4">
        <w:tc>
          <w:tcPr>
            <w:tcW w:w="3116" w:type="dxa"/>
          </w:tcPr>
          <w:p w14:paraId="4EFCC577" w14:textId="5FAF71C4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3</w:t>
            </w:r>
          </w:p>
        </w:tc>
        <w:tc>
          <w:tcPr>
            <w:tcW w:w="3117" w:type="dxa"/>
          </w:tcPr>
          <w:p w14:paraId="52305473" w14:textId="04B77F82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47</w:t>
            </w:r>
          </w:p>
        </w:tc>
        <w:tc>
          <w:tcPr>
            <w:tcW w:w="3117" w:type="dxa"/>
          </w:tcPr>
          <w:p w14:paraId="2324A109" w14:textId="45B284F3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0</w:t>
            </w:r>
          </w:p>
        </w:tc>
      </w:tr>
      <w:tr w:rsidR="00EF51C4" w:rsidRPr="00441190" w14:paraId="4DFE1404" w14:textId="77777777" w:rsidTr="00EF51C4">
        <w:tc>
          <w:tcPr>
            <w:tcW w:w="3116" w:type="dxa"/>
          </w:tcPr>
          <w:p w14:paraId="4B17C31B" w14:textId="68AC6057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4</w:t>
            </w:r>
          </w:p>
        </w:tc>
        <w:tc>
          <w:tcPr>
            <w:tcW w:w="3117" w:type="dxa"/>
          </w:tcPr>
          <w:p w14:paraId="69A4AFC2" w14:textId="2A993708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47</w:t>
            </w:r>
          </w:p>
        </w:tc>
        <w:tc>
          <w:tcPr>
            <w:tcW w:w="3117" w:type="dxa"/>
          </w:tcPr>
          <w:p w14:paraId="6DF79438" w14:textId="6CA334D1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0</w:t>
            </w:r>
          </w:p>
        </w:tc>
      </w:tr>
      <w:tr w:rsidR="00EF51C4" w:rsidRPr="00441190" w14:paraId="71C98A17" w14:textId="77777777" w:rsidTr="00EF51C4">
        <w:tc>
          <w:tcPr>
            <w:tcW w:w="3116" w:type="dxa"/>
          </w:tcPr>
          <w:p w14:paraId="2752B80B" w14:textId="37F8D846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5</w:t>
            </w:r>
          </w:p>
        </w:tc>
        <w:tc>
          <w:tcPr>
            <w:tcW w:w="3117" w:type="dxa"/>
          </w:tcPr>
          <w:p w14:paraId="2B6B48A0" w14:textId="18F0F5BE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47</w:t>
            </w:r>
          </w:p>
        </w:tc>
        <w:tc>
          <w:tcPr>
            <w:tcW w:w="3117" w:type="dxa"/>
          </w:tcPr>
          <w:p w14:paraId="4DCDF8AB" w14:textId="4C2E2E43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0</w:t>
            </w:r>
          </w:p>
        </w:tc>
      </w:tr>
      <w:tr w:rsidR="00EF51C4" w:rsidRPr="00441190" w14:paraId="1FAC86AF" w14:textId="77777777" w:rsidTr="00EF51C4">
        <w:tc>
          <w:tcPr>
            <w:tcW w:w="3116" w:type="dxa"/>
          </w:tcPr>
          <w:p w14:paraId="5BC3899E" w14:textId="608DDA22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6</w:t>
            </w:r>
          </w:p>
        </w:tc>
        <w:tc>
          <w:tcPr>
            <w:tcW w:w="3117" w:type="dxa"/>
          </w:tcPr>
          <w:p w14:paraId="77835693" w14:textId="5A18DFE5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46</w:t>
            </w:r>
          </w:p>
        </w:tc>
        <w:tc>
          <w:tcPr>
            <w:tcW w:w="3117" w:type="dxa"/>
          </w:tcPr>
          <w:p w14:paraId="049D3FFD" w14:textId="22B18F64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0</w:t>
            </w:r>
          </w:p>
        </w:tc>
      </w:tr>
      <w:tr w:rsidR="00EF51C4" w:rsidRPr="00441190" w14:paraId="16779F85" w14:textId="77777777" w:rsidTr="00EF51C4">
        <w:tc>
          <w:tcPr>
            <w:tcW w:w="3116" w:type="dxa"/>
          </w:tcPr>
          <w:p w14:paraId="38B79CC6" w14:textId="3CF628FD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7</w:t>
            </w:r>
          </w:p>
        </w:tc>
        <w:tc>
          <w:tcPr>
            <w:tcW w:w="3117" w:type="dxa"/>
          </w:tcPr>
          <w:p w14:paraId="7706306B" w14:textId="7A0F944B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46</w:t>
            </w:r>
          </w:p>
        </w:tc>
        <w:tc>
          <w:tcPr>
            <w:tcW w:w="3117" w:type="dxa"/>
          </w:tcPr>
          <w:p w14:paraId="437C6691" w14:textId="10D6BB02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0</w:t>
            </w:r>
          </w:p>
        </w:tc>
      </w:tr>
      <w:tr w:rsidR="00EF51C4" w:rsidRPr="00441190" w14:paraId="03C171B5" w14:textId="77777777" w:rsidTr="00EF51C4">
        <w:tc>
          <w:tcPr>
            <w:tcW w:w="3116" w:type="dxa"/>
          </w:tcPr>
          <w:p w14:paraId="062F78CD" w14:textId="4A8F3532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8</w:t>
            </w:r>
          </w:p>
        </w:tc>
        <w:tc>
          <w:tcPr>
            <w:tcW w:w="3117" w:type="dxa"/>
          </w:tcPr>
          <w:p w14:paraId="663A0EE3" w14:textId="4F931DD9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46</w:t>
            </w:r>
          </w:p>
        </w:tc>
        <w:tc>
          <w:tcPr>
            <w:tcW w:w="3117" w:type="dxa"/>
          </w:tcPr>
          <w:p w14:paraId="5C5A0011" w14:textId="18D100BD" w:rsidR="00EF51C4" w:rsidRPr="00441190" w:rsidRDefault="00EF51C4" w:rsidP="00441190">
            <w:pPr>
              <w:jc w:val="center"/>
              <w:rPr>
                <w:u w:val="single"/>
              </w:rPr>
            </w:pPr>
            <w:r w:rsidRPr="00441190">
              <w:rPr>
                <w:u w:val="single"/>
              </w:rPr>
              <w:t>0</w:t>
            </w:r>
          </w:p>
        </w:tc>
      </w:tr>
    </w:tbl>
    <w:p w14:paraId="23F59036" w14:textId="6107B3AE" w:rsidR="008868AA" w:rsidRPr="00441190" w:rsidRDefault="007574AD" w:rsidP="007574AD">
      <w:pPr>
        <w:rPr>
          <w:u w:val="single"/>
        </w:rPr>
      </w:pPr>
      <w:r w:rsidRPr="00441190">
        <w:rPr>
          <w:u w:val="single"/>
        </w:rPr>
        <w:t>a. The building shall meet the requirements of Table R406.2, and the building thermal envelope shall be greater than or equal to the levels of</w:t>
      </w:r>
      <w:r w:rsidR="00EF51C4" w:rsidRPr="00441190">
        <w:rPr>
          <w:u w:val="single"/>
        </w:rPr>
        <w:t xml:space="preserve"> </w:t>
      </w:r>
      <w:r w:rsidRPr="00441190">
        <w:rPr>
          <w:u w:val="single"/>
        </w:rPr>
        <w:t xml:space="preserve">efficiency and SHGC in Table R402.1.2 or </w:t>
      </w:r>
      <w:r w:rsidR="00441190" w:rsidRPr="00441190">
        <w:rPr>
          <w:u w:val="single"/>
        </w:rPr>
        <w:t>R402.1.3.</w:t>
      </w:r>
    </w:p>
    <w:sectPr w:rsidR="008868AA" w:rsidRPr="00441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AD"/>
    <w:rsid w:val="001A2A7A"/>
    <w:rsid w:val="00441190"/>
    <w:rsid w:val="004E213E"/>
    <w:rsid w:val="005E41C6"/>
    <w:rsid w:val="005E5AA2"/>
    <w:rsid w:val="007574AD"/>
    <w:rsid w:val="0085279F"/>
    <w:rsid w:val="00955D15"/>
    <w:rsid w:val="00993C05"/>
    <w:rsid w:val="009A61F7"/>
    <w:rsid w:val="00A2212E"/>
    <w:rsid w:val="00E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3974"/>
  <w15:chartTrackingRefBased/>
  <w15:docId w15:val="{19C3BDCA-0DD9-4BEF-A439-4478237E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Weston</dc:creator>
  <cp:keywords/>
  <dc:description/>
  <cp:lastModifiedBy>Theresa Weston</cp:lastModifiedBy>
  <cp:revision>1</cp:revision>
  <dcterms:created xsi:type="dcterms:W3CDTF">2022-05-02T19:57:00Z</dcterms:created>
  <dcterms:modified xsi:type="dcterms:W3CDTF">2022-05-05T01:01:00Z</dcterms:modified>
</cp:coreProperties>
</file>