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7D52" w14:textId="4DBD7BB5" w:rsidR="007574AD" w:rsidRDefault="007574AD" w:rsidP="007574AD">
      <w:pPr>
        <w:jc w:val="center"/>
        <w:rPr>
          <w:b/>
          <w:bCs/>
          <w:sz w:val="28"/>
          <w:szCs w:val="28"/>
        </w:rPr>
      </w:pPr>
      <w:r w:rsidRPr="007574AD">
        <w:rPr>
          <w:b/>
          <w:bCs/>
          <w:sz w:val="28"/>
          <w:szCs w:val="28"/>
        </w:rPr>
        <w:t>Proposed Modification to REPI-157-21</w:t>
      </w:r>
    </w:p>
    <w:p w14:paraId="16BC3299" w14:textId="77777777" w:rsidR="00CD3AC3" w:rsidRDefault="00CD3AC3" w:rsidP="007574AD">
      <w:pPr>
        <w:rPr>
          <w:rFonts w:cstheme="minorHAnsi"/>
          <w:b/>
          <w:bCs/>
          <w:color w:val="FF0000"/>
        </w:rPr>
      </w:pPr>
    </w:p>
    <w:p w14:paraId="7D3AACBF" w14:textId="3AEC4FBF" w:rsidR="007574AD" w:rsidRPr="00CD3AC3" w:rsidRDefault="00A37D90" w:rsidP="007574AD">
      <w:pPr>
        <w:rPr>
          <w:rFonts w:cstheme="minorHAnsi"/>
          <w:b/>
          <w:bCs/>
          <w:color w:val="FF0000"/>
        </w:rPr>
      </w:pPr>
      <w:r w:rsidRPr="00CD3AC3">
        <w:rPr>
          <w:rFonts w:cstheme="minorHAnsi"/>
          <w:b/>
          <w:bCs/>
          <w:color w:val="FF0000"/>
        </w:rPr>
        <w:t xml:space="preserve">DELETE AND REPLACE </w:t>
      </w:r>
      <w:r w:rsidR="007574AD" w:rsidRPr="00CD3AC3">
        <w:rPr>
          <w:rFonts w:cstheme="minorHAnsi"/>
          <w:b/>
          <w:bCs/>
          <w:color w:val="FF0000"/>
        </w:rPr>
        <w:t xml:space="preserve">REPI-157-21 </w:t>
      </w:r>
      <w:r w:rsidRPr="00CD3AC3">
        <w:rPr>
          <w:rFonts w:cstheme="minorHAnsi"/>
          <w:b/>
          <w:bCs/>
          <w:color w:val="FF0000"/>
        </w:rPr>
        <w:t>WITH THE FOLLOWING</w:t>
      </w:r>
      <w:r w:rsidR="007574AD" w:rsidRPr="00CD3AC3">
        <w:rPr>
          <w:rFonts w:cstheme="minorHAnsi"/>
          <w:b/>
          <w:bCs/>
          <w:color w:val="FF0000"/>
        </w:rPr>
        <w:t>:</w:t>
      </w:r>
    </w:p>
    <w:p w14:paraId="54E4F8BA" w14:textId="77777777" w:rsidR="00A37D90" w:rsidRPr="00CD3AC3" w:rsidRDefault="00A37D90" w:rsidP="00A37D90">
      <w:pPr>
        <w:jc w:val="center"/>
        <w:rPr>
          <w:rFonts w:cstheme="minorHAnsi"/>
          <w:b/>
          <w:bCs/>
        </w:rPr>
      </w:pPr>
      <w:r w:rsidRPr="00CD3AC3">
        <w:rPr>
          <w:rFonts w:cstheme="minorHAnsi"/>
          <w:b/>
          <w:bCs/>
        </w:rPr>
        <w:t>APPENDIX RC (APPENDIX AX)</w:t>
      </w:r>
    </w:p>
    <w:p w14:paraId="6F26D3BB" w14:textId="77777777" w:rsidR="00A37D90" w:rsidRPr="00CD3AC3" w:rsidRDefault="00A37D90" w:rsidP="00A37D90">
      <w:pPr>
        <w:jc w:val="center"/>
        <w:rPr>
          <w:rFonts w:cstheme="minorHAnsi"/>
          <w:b/>
          <w:bCs/>
        </w:rPr>
      </w:pPr>
      <w:r w:rsidRPr="00CD3AC3">
        <w:rPr>
          <w:rFonts w:cstheme="minorHAnsi"/>
          <w:b/>
          <w:bCs/>
        </w:rPr>
        <w:t>NET ZERO ENERGY RESIDENTIAL BUILDING PROVISIONS</w:t>
      </w:r>
    </w:p>
    <w:p w14:paraId="58CCD215" w14:textId="77777777" w:rsidR="00A37D90" w:rsidRPr="00CD3AC3" w:rsidRDefault="00A37D90" w:rsidP="00A37D90">
      <w:pPr>
        <w:jc w:val="center"/>
        <w:rPr>
          <w:rFonts w:cstheme="minorHAnsi"/>
          <w:b/>
          <w:bCs/>
        </w:rPr>
      </w:pPr>
      <w:r w:rsidRPr="00CD3AC3">
        <w:rPr>
          <w:rFonts w:cstheme="minorHAnsi"/>
          <w:b/>
          <w:bCs/>
        </w:rPr>
        <w:t>SECTION RC102 (AX102)</w:t>
      </w:r>
    </w:p>
    <w:p w14:paraId="44A443EC" w14:textId="77777777" w:rsidR="00A37D90" w:rsidRPr="00CD3AC3" w:rsidRDefault="00A37D90" w:rsidP="00A37D90">
      <w:pPr>
        <w:jc w:val="center"/>
        <w:rPr>
          <w:rFonts w:cstheme="minorHAnsi"/>
          <w:b/>
          <w:bCs/>
        </w:rPr>
      </w:pPr>
      <w:r w:rsidRPr="00CD3AC3">
        <w:rPr>
          <w:rFonts w:cstheme="minorHAnsi"/>
          <w:b/>
          <w:bCs/>
        </w:rPr>
        <w:t>NET ZERO ENERGY RESIDENTIAL BUILDINGS</w:t>
      </w:r>
    </w:p>
    <w:p w14:paraId="27B3C8D5" w14:textId="2FB8C189" w:rsidR="00A37D90" w:rsidRPr="00CD3AC3" w:rsidRDefault="009B2042" w:rsidP="009B204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3AC3">
        <w:rPr>
          <w:rFonts w:cstheme="minorHAnsi"/>
          <w:b/>
          <w:bCs/>
        </w:rPr>
        <w:t xml:space="preserve">RC102.1 General. </w:t>
      </w:r>
      <w:r w:rsidRPr="00CD3AC3">
        <w:rPr>
          <w:rFonts w:cstheme="minorHAnsi"/>
        </w:rPr>
        <w:t xml:space="preserve">New </w:t>
      </w:r>
      <w:r w:rsidRPr="00CD3AC3">
        <w:rPr>
          <w:rFonts w:cstheme="minorHAnsi"/>
          <w:i/>
          <w:iCs/>
        </w:rPr>
        <w:t xml:space="preserve">residential buildings </w:t>
      </w:r>
      <w:r w:rsidRPr="00CD3AC3">
        <w:rPr>
          <w:rFonts w:cstheme="minorHAnsi"/>
        </w:rPr>
        <w:t>shall comply with Section RC102.2</w:t>
      </w:r>
      <w:r w:rsidR="00CD3AC3" w:rsidRPr="00CD3AC3">
        <w:rPr>
          <w:rFonts w:cstheme="minorHAnsi"/>
        </w:rPr>
        <w:t>.</w:t>
      </w:r>
    </w:p>
    <w:p w14:paraId="65B07B4B" w14:textId="77777777" w:rsidR="009B2042" w:rsidRPr="00CD3AC3" w:rsidRDefault="009B2042" w:rsidP="009B204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501B1D" w14:textId="73DB3FA7" w:rsidR="0002227D" w:rsidRPr="00CD3AC3" w:rsidRDefault="009B2042" w:rsidP="0002227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</w:rPr>
      </w:pPr>
      <w:bookmarkStart w:id="0" w:name="_Hlk106009419"/>
      <w:r w:rsidRPr="004C1300">
        <w:rPr>
          <w:rFonts w:cstheme="minorHAnsi"/>
          <w:b/>
          <w:bCs/>
          <w:strike/>
        </w:rPr>
        <w:t>RC102.2 (AX102.2)</w:t>
      </w:r>
      <w:r w:rsidRPr="00CD3AC3">
        <w:rPr>
          <w:rFonts w:cstheme="minorHAnsi"/>
          <w:b/>
          <w:bCs/>
        </w:rPr>
        <w:t xml:space="preserve"> </w:t>
      </w:r>
      <w:r w:rsidRPr="00CD3AC3">
        <w:rPr>
          <w:rFonts w:cstheme="minorHAnsi"/>
          <w:b/>
          <w:bCs/>
          <w:strike/>
        </w:rPr>
        <w:t>Energy Rating Index zero energy score.</w:t>
      </w:r>
      <w:r w:rsidRPr="00CD3AC3">
        <w:rPr>
          <w:rFonts w:cstheme="minorHAnsi"/>
          <w:b/>
          <w:bCs/>
        </w:rPr>
        <w:t xml:space="preserve"> </w:t>
      </w:r>
      <w:bookmarkEnd w:id="0"/>
      <w:r w:rsidR="0002227D" w:rsidRPr="00CD3AC3">
        <w:rPr>
          <w:rFonts w:cstheme="minorHAnsi"/>
          <w:strike/>
        </w:rPr>
        <w:t>Compliance with this section requires that the rated design be shown to have a score less than or equal to the values in Table RC102.2 when compared to the Energy Rating Index (ERI) reference design determined in accordance with</w:t>
      </w:r>
      <w:r w:rsidR="00CD3AC3" w:rsidRPr="00CD3AC3">
        <w:rPr>
          <w:rFonts w:cstheme="minorHAnsi"/>
          <w:strike/>
        </w:rPr>
        <w:t xml:space="preserve"> </w:t>
      </w:r>
      <w:r w:rsidR="0002227D" w:rsidRPr="00CD3AC3">
        <w:rPr>
          <w:rFonts w:cstheme="minorHAnsi"/>
          <w:strike/>
        </w:rPr>
        <w:t xml:space="preserve">RESNET/ICC 301 for both of the following: </w:t>
      </w:r>
    </w:p>
    <w:p w14:paraId="2CC58710" w14:textId="4846BDE4" w:rsidR="00CD3AC3" w:rsidRPr="00CD3AC3" w:rsidRDefault="00AC12A4" w:rsidP="00CD3AC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trike/>
        </w:rPr>
      </w:pPr>
      <w:r>
        <w:rPr>
          <w:rFonts w:cstheme="minorHAnsi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FB8AE" wp14:editId="1021F839">
                <wp:simplePos x="0" y="0"/>
                <wp:positionH relativeFrom="column">
                  <wp:posOffset>66675</wp:posOffset>
                </wp:positionH>
                <wp:positionV relativeFrom="paragraph">
                  <wp:posOffset>118110</wp:posOffset>
                </wp:positionV>
                <wp:extent cx="352425" cy="1247775"/>
                <wp:effectExtent l="266700" t="0" r="28575" b="85725"/>
                <wp:wrapNone/>
                <wp:docPr id="2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47775"/>
                        </a:xfrm>
                        <a:prstGeom prst="bentConnector3">
                          <a:avLst>
                            <a:gd name="adj1" fmla="val -7142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E15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" o:spid="_x0000_s1026" type="#_x0000_t34" style="position:absolute;margin-left:5.25pt;margin-top:9.3pt;width:27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" adj="-15429" strokecolor="#4472c4 [3204]" strokeweight=".5pt">
                <v:stroke endarrow="block"/>
              </v:shape>
            </w:pict>
          </mc:Fallback>
        </mc:AlternateContent>
      </w:r>
      <w:r w:rsidR="0002227D" w:rsidRPr="00CD3AC3">
        <w:rPr>
          <w:rFonts w:cstheme="minorHAnsi"/>
          <w:strike/>
        </w:rPr>
        <w:t>ERI value not including on-site power production (OPP) calculated in accordance with RESNET/ICC 301.</w:t>
      </w:r>
      <w:bookmarkStart w:id="1" w:name="_Hlk106008366"/>
    </w:p>
    <w:p w14:paraId="4E2157DB" w14:textId="120A80F0" w:rsidR="00CD3AC3" w:rsidRPr="00CD3AC3" w:rsidRDefault="00AC12A4" w:rsidP="00CD3AC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trike/>
        </w:rPr>
      </w:pPr>
      <w:r>
        <w:rPr>
          <w:rFonts w:cstheme="minorHAnsi"/>
          <w:strike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13767" wp14:editId="53ADD516">
                <wp:simplePos x="0" y="0"/>
                <wp:positionH relativeFrom="column">
                  <wp:posOffset>-66675</wp:posOffset>
                </wp:positionH>
                <wp:positionV relativeFrom="paragraph">
                  <wp:posOffset>91440</wp:posOffset>
                </wp:positionV>
                <wp:extent cx="209550" cy="3876675"/>
                <wp:effectExtent l="457200" t="0" r="19050" b="85725"/>
                <wp:wrapNone/>
                <wp:docPr id="3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876675"/>
                        </a:xfrm>
                        <a:prstGeom prst="bentConnector3">
                          <a:avLst>
                            <a:gd name="adj1" fmla="val 310407"/>
                          </a:avLst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E7578" id="Connector: Elbow 3" o:spid="_x0000_s1026" type="#_x0000_t34" style="position:absolute;margin-left:-5.25pt;margin-top:7.2pt;width:16.5pt;height:30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" adj="67048" strokecolor="#00b050" strokeweight=".5pt">
                <v:stroke endarrow="block"/>
              </v:shape>
            </w:pict>
          </mc:Fallback>
        </mc:AlternateContent>
      </w:r>
      <w:r w:rsidR="00CD3AC3" w:rsidRPr="00CD3AC3">
        <w:rPr>
          <w:rFonts w:cstheme="minorHAnsi"/>
          <w:strike/>
        </w:rPr>
        <w:t>ERI value including on-site power production calculated in accordance with RESNET/ICC 301 with the OPP in Equation 4.1.2 of RESNET/ICC 301 adjusted in accordance with Equation RC-1.</w:t>
      </w:r>
    </w:p>
    <w:bookmarkEnd w:id="1"/>
    <w:p w14:paraId="4C82F702" w14:textId="77777777" w:rsidR="004C1300" w:rsidRDefault="004C1300" w:rsidP="009B2042">
      <w:pPr>
        <w:rPr>
          <w:rFonts w:cstheme="minorHAnsi"/>
          <w:u w:val="single"/>
        </w:rPr>
      </w:pPr>
    </w:p>
    <w:p w14:paraId="5B2CE3D5" w14:textId="3B34CE4D" w:rsidR="009B2042" w:rsidRPr="004C1300" w:rsidRDefault="004C1300" w:rsidP="009B2042">
      <w:pPr>
        <w:rPr>
          <w:rFonts w:cstheme="minorHAnsi"/>
          <w:u w:val="single"/>
        </w:rPr>
      </w:pPr>
      <w:r w:rsidRPr="004C1300">
        <w:rPr>
          <w:rFonts w:cstheme="minorHAnsi"/>
          <w:b/>
          <w:bCs/>
          <w:u w:val="single"/>
        </w:rPr>
        <w:t>RC102.2 (AX102.2)</w:t>
      </w:r>
      <w:r w:rsidRPr="00CD3AC3">
        <w:rPr>
          <w:rFonts w:cstheme="minorHAnsi"/>
          <w:b/>
          <w:bCs/>
        </w:rPr>
        <w:t xml:space="preserve"> </w:t>
      </w:r>
      <w:r w:rsidRPr="00CD3AC3">
        <w:rPr>
          <w:rFonts w:cstheme="minorHAnsi"/>
          <w:b/>
          <w:bCs/>
          <w:u w:val="single"/>
        </w:rPr>
        <w:t>Rating Index</w:t>
      </w:r>
      <w:r w:rsidRPr="00CD3AC3">
        <w:rPr>
          <w:rFonts w:cstheme="minorHAnsi"/>
          <w:strike/>
        </w:rPr>
        <w:t xml:space="preserve"> </w:t>
      </w:r>
      <w:r w:rsidR="009B2042" w:rsidRPr="004C1300">
        <w:rPr>
          <w:rFonts w:cstheme="minorHAnsi"/>
          <w:u w:val="single"/>
        </w:rPr>
        <w:t>New residential buildings shall comply with one the following:</w:t>
      </w:r>
    </w:p>
    <w:p w14:paraId="305F9FA6" w14:textId="4E1FCF32" w:rsidR="000D44E6" w:rsidRPr="004C1300" w:rsidRDefault="009B2042" w:rsidP="000D44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C1300">
        <w:rPr>
          <w:rFonts w:cstheme="minorHAnsi"/>
          <w:u w:val="single"/>
        </w:rPr>
        <w:t xml:space="preserve">The </w:t>
      </w:r>
      <w:r w:rsidR="0002227D" w:rsidRPr="004C1300">
        <w:rPr>
          <w:rFonts w:cstheme="minorHAnsi"/>
          <w:u w:val="single"/>
        </w:rPr>
        <w:t>Energy Rating Index (</w:t>
      </w:r>
      <w:r w:rsidRPr="004C1300">
        <w:rPr>
          <w:rFonts w:cstheme="minorHAnsi"/>
          <w:u w:val="single"/>
        </w:rPr>
        <w:t>ERI</w:t>
      </w:r>
      <w:r w:rsidR="0002227D" w:rsidRPr="004C1300">
        <w:rPr>
          <w:rFonts w:cstheme="minorHAnsi"/>
          <w:u w:val="single"/>
        </w:rPr>
        <w:t>)</w:t>
      </w:r>
      <w:r w:rsidRPr="004C1300">
        <w:rPr>
          <w:rFonts w:cstheme="minorHAnsi"/>
          <w:u w:val="single"/>
        </w:rPr>
        <w:t xml:space="preserve"> not including OPP </w:t>
      </w:r>
      <w:r w:rsidR="000D44E6" w:rsidRPr="004C1300">
        <w:rPr>
          <w:rFonts w:cstheme="minorHAnsi"/>
          <w:u w:val="single"/>
        </w:rPr>
        <w:t>calculated in accordance with RESNET/ICC 301</w:t>
      </w:r>
      <w:r w:rsidR="000D44E6" w:rsidRPr="004C1300">
        <w:rPr>
          <w:rFonts w:cstheme="minorHAnsi"/>
          <w:u w:val="single"/>
        </w:rPr>
        <w:t xml:space="preserve"> </w:t>
      </w:r>
      <w:r w:rsidR="00A95283" w:rsidRPr="004C1300">
        <w:rPr>
          <w:rFonts w:cstheme="minorHAnsi"/>
          <w:u w:val="single"/>
        </w:rPr>
        <w:t xml:space="preserve">for the rated design </w:t>
      </w:r>
      <w:r w:rsidR="0002227D" w:rsidRPr="004C1300">
        <w:rPr>
          <w:rFonts w:cstheme="minorHAnsi"/>
          <w:u w:val="single"/>
        </w:rPr>
        <w:t xml:space="preserve">shall </w:t>
      </w:r>
      <w:r w:rsidR="00A95283" w:rsidRPr="004C1300">
        <w:rPr>
          <w:rFonts w:cstheme="minorHAnsi"/>
          <w:u w:val="single"/>
        </w:rPr>
        <w:t xml:space="preserve">be not more than the values listed in Table RC102.2 and the requirements of </w:t>
      </w:r>
      <w:r w:rsidR="000D44E6" w:rsidRPr="004C1300">
        <w:rPr>
          <w:rFonts w:cstheme="minorHAnsi"/>
          <w:u w:val="single"/>
        </w:rPr>
        <w:t xml:space="preserve">Sections </w:t>
      </w:r>
      <w:bookmarkStart w:id="2" w:name="_Hlk106010121"/>
      <w:r w:rsidR="000D44E6" w:rsidRPr="004C1300">
        <w:rPr>
          <w:rFonts w:cstheme="minorHAnsi"/>
          <w:u w:val="single"/>
        </w:rPr>
        <w:t xml:space="preserve">406.3, 406.6 and 406.7 </w:t>
      </w:r>
      <w:bookmarkEnd w:id="2"/>
      <w:r w:rsidR="000D44E6" w:rsidRPr="004C1300">
        <w:rPr>
          <w:rFonts w:cstheme="minorHAnsi"/>
          <w:u w:val="single"/>
        </w:rPr>
        <w:t xml:space="preserve">and </w:t>
      </w:r>
      <w:r w:rsidRPr="004C1300">
        <w:rPr>
          <w:rFonts w:cstheme="minorHAnsi"/>
          <w:u w:val="single"/>
        </w:rPr>
        <w:t>Table R406.2</w:t>
      </w:r>
      <w:r w:rsidR="004C1300" w:rsidRPr="004C1300">
        <w:rPr>
          <w:rFonts w:cstheme="minorHAnsi"/>
          <w:u w:val="single"/>
        </w:rPr>
        <w:t xml:space="preserve"> shall be met</w:t>
      </w:r>
      <w:r w:rsidR="00A95283" w:rsidRPr="004C1300">
        <w:rPr>
          <w:rFonts w:cstheme="minorHAnsi"/>
          <w:u w:val="single"/>
        </w:rPr>
        <w:t xml:space="preserve">, </w:t>
      </w:r>
      <w:r w:rsidRPr="004C1300">
        <w:rPr>
          <w:rFonts w:cstheme="minorHAnsi"/>
          <w:u w:val="single"/>
        </w:rPr>
        <w:t>or</w:t>
      </w:r>
    </w:p>
    <w:p w14:paraId="5F96365F" w14:textId="77777777" w:rsidR="00A95283" w:rsidRPr="004C1300" w:rsidRDefault="00A95283" w:rsidP="00A95283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674450AB" w14:textId="77777777" w:rsidR="0002227D" w:rsidRPr="004C1300" w:rsidRDefault="009B2042" w:rsidP="000D44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C1300">
        <w:rPr>
          <w:rFonts w:cstheme="minorHAnsi"/>
          <w:u w:val="single"/>
        </w:rPr>
        <w:t xml:space="preserve">The requirements of ASHRAE/IES Standard 90.2, including the ERI requirements of ASHRAE/IES 90.2 Table 6-1 without the use of on-site power production (OPP), and the requirements of Sections R402.4.1.1, R402.4.1.2, R404.4 (Electric Readiness), and </w:t>
      </w:r>
      <w:bookmarkStart w:id="3" w:name="_Hlk106005390"/>
      <w:r w:rsidRPr="004C1300">
        <w:rPr>
          <w:rFonts w:cstheme="minorHAnsi"/>
          <w:u w:val="single"/>
        </w:rPr>
        <w:t>R404.4</w:t>
      </w:r>
      <w:r w:rsidR="004B7020" w:rsidRPr="004C1300">
        <w:rPr>
          <w:rFonts w:cstheme="minorHAnsi"/>
          <w:u w:val="single"/>
        </w:rPr>
        <w:t xml:space="preserve"> </w:t>
      </w:r>
    </w:p>
    <w:p w14:paraId="3657E2EC" w14:textId="270CB4B3" w:rsidR="009B2042" w:rsidRPr="004C1300" w:rsidRDefault="004B7020" w:rsidP="0002227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u w:val="single"/>
        </w:rPr>
      </w:pPr>
      <w:r w:rsidRPr="004C1300">
        <w:rPr>
          <w:rFonts w:cstheme="minorHAnsi"/>
          <w:u w:val="single"/>
        </w:rPr>
        <w:t>(Electric Vehicle Power Transfer Infrastructure)</w:t>
      </w:r>
      <w:r w:rsidR="004C1300" w:rsidRPr="004C1300">
        <w:rPr>
          <w:rFonts w:cstheme="minorHAnsi"/>
          <w:u w:val="single"/>
        </w:rPr>
        <w:t xml:space="preserve"> shall be met.</w:t>
      </w:r>
    </w:p>
    <w:p w14:paraId="5A89CC54" w14:textId="43490840" w:rsidR="0002227D" w:rsidRPr="004C1300" w:rsidRDefault="0002227D" w:rsidP="0002227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</w:rPr>
      </w:pPr>
      <w:bookmarkStart w:id="4" w:name="_Hlk105842970"/>
      <w:bookmarkEnd w:id="3"/>
    </w:p>
    <w:p w14:paraId="64A28DC3" w14:textId="77777777" w:rsidR="0002227D" w:rsidRPr="004C1300" w:rsidRDefault="0002227D" w:rsidP="0002227D">
      <w:pPr>
        <w:ind w:left="5040"/>
        <w:rPr>
          <w:rFonts w:cstheme="minorHAnsi"/>
          <w:b/>
          <w:bCs/>
          <w:i/>
          <w:iCs/>
          <w:color w:val="FF0000"/>
        </w:rPr>
      </w:pPr>
      <w:r w:rsidRPr="004C1300">
        <w:rPr>
          <w:rFonts w:cstheme="minorHAnsi"/>
          <w:b/>
          <w:bCs/>
          <w:i/>
          <w:iCs/>
          <w:color w:val="FF0000"/>
        </w:rPr>
        <w:t>Note to staff:  The section # R404.4 was proposed in several different proposals.  As multiple proposals are approved there will need to be a renumbering, so I have included R404.4 with the title of the proposed sections to aid in establishing the final section numbers.</w:t>
      </w:r>
    </w:p>
    <w:p w14:paraId="22068A64" w14:textId="00DD8293" w:rsidR="00387531" w:rsidRDefault="00387531" w:rsidP="00387531">
      <w:pPr>
        <w:rPr>
          <w:rFonts w:cstheme="minorHAnsi"/>
          <w:u w:val="single"/>
        </w:rPr>
      </w:pPr>
      <w:r w:rsidRPr="004C1300">
        <w:rPr>
          <w:rFonts w:cstheme="minorHAnsi"/>
          <w:b/>
          <w:bCs/>
          <w:u w:val="single"/>
        </w:rPr>
        <w:t>RC102.</w:t>
      </w:r>
      <w:r w:rsidR="002923F4" w:rsidRPr="004C1300">
        <w:rPr>
          <w:rFonts w:cstheme="minorHAnsi"/>
          <w:b/>
          <w:bCs/>
          <w:u w:val="single"/>
        </w:rPr>
        <w:t>2.1</w:t>
      </w:r>
      <w:r w:rsidRPr="004C1300">
        <w:rPr>
          <w:rFonts w:cstheme="minorHAnsi"/>
          <w:b/>
          <w:bCs/>
          <w:u w:val="single"/>
        </w:rPr>
        <w:t xml:space="preserve"> (AX102.</w:t>
      </w:r>
      <w:r w:rsidR="002923F4" w:rsidRPr="004C1300">
        <w:rPr>
          <w:rFonts w:cstheme="minorHAnsi"/>
          <w:b/>
          <w:bCs/>
          <w:u w:val="single"/>
        </w:rPr>
        <w:t>2.1</w:t>
      </w:r>
      <w:r w:rsidRPr="004C1300">
        <w:rPr>
          <w:rFonts w:cstheme="minorHAnsi"/>
          <w:b/>
          <w:bCs/>
          <w:u w:val="single"/>
        </w:rPr>
        <w:t>) On-site Power Production</w:t>
      </w:r>
      <w:r w:rsidRPr="004C1300">
        <w:rPr>
          <w:rFonts w:cstheme="minorHAnsi"/>
          <w:u w:val="single"/>
        </w:rPr>
        <w:t xml:space="preserve"> </w:t>
      </w:r>
      <w:r w:rsidRPr="004C1300">
        <w:rPr>
          <w:rFonts w:cstheme="minorHAnsi"/>
          <w:u w:val="single"/>
        </w:rPr>
        <w:t xml:space="preserve">New residential buildings shall achieve an Energy Rating Index (ERI) </w:t>
      </w:r>
      <w:bookmarkStart w:id="5" w:name="_Hlk106008448"/>
      <w:r w:rsidR="002923F4" w:rsidRPr="004C1300">
        <w:rPr>
          <w:rFonts w:cstheme="minorHAnsi"/>
          <w:u w:val="single"/>
        </w:rPr>
        <w:t xml:space="preserve">value </w:t>
      </w:r>
      <w:r w:rsidRPr="004C1300">
        <w:rPr>
          <w:rFonts w:cstheme="minorHAnsi"/>
          <w:u w:val="single"/>
        </w:rPr>
        <w:t xml:space="preserve">including onsite power production </w:t>
      </w:r>
      <w:r w:rsidR="002923F4" w:rsidRPr="004C1300">
        <w:rPr>
          <w:rFonts w:cstheme="minorHAnsi"/>
          <w:u w:val="single"/>
        </w:rPr>
        <w:t xml:space="preserve">not more than the values in Table RC 102.2.  </w:t>
      </w:r>
      <w:r w:rsidR="004C1300">
        <w:rPr>
          <w:rFonts w:cstheme="minorHAnsi"/>
          <w:u w:val="single"/>
        </w:rPr>
        <w:t xml:space="preserve">The </w:t>
      </w:r>
      <w:r w:rsidR="002923F4" w:rsidRPr="004C1300">
        <w:rPr>
          <w:rFonts w:cstheme="minorHAnsi"/>
          <w:u w:val="single"/>
        </w:rPr>
        <w:t xml:space="preserve">ERI shall be </w:t>
      </w:r>
      <w:r w:rsidRPr="004C1300">
        <w:rPr>
          <w:rFonts w:cstheme="minorHAnsi"/>
          <w:u w:val="single"/>
        </w:rPr>
        <w:t>calculated in accordance with RESNET/ICC 301 with the OPP in Equation 4.1.</w:t>
      </w:r>
      <w:r w:rsidR="002923F4" w:rsidRPr="004C1300">
        <w:rPr>
          <w:rFonts w:cstheme="minorHAnsi"/>
          <w:u w:val="single"/>
        </w:rPr>
        <w:t>2 of RESNET/ICC 301 adjusted in accordance with Equation RC-1</w:t>
      </w:r>
    </w:p>
    <w:p w14:paraId="4CE6E8F7" w14:textId="77777777" w:rsidR="00AC12A4" w:rsidRPr="004C1300" w:rsidRDefault="00AC12A4" w:rsidP="00387531">
      <w:pPr>
        <w:rPr>
          <w:rFonts w:cstheme="minorHAnsi"/>
          <w:u w:val="single"/>
        </w:rPr>
      </w:pPr>
    </w:p>
    <w:bookmarkEnd w:id="5"/>
    <w:p w14:paraId="5A0F4F90" w14:textId="6C56C6FF" w:rsidR="004C1300" w:rsidRPr="004C1300" w:rsidRDefault="004C1300" w:rsidP="004C13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1300">
        <w:rPr>
          <w:rFonts w:cstheme="minorHAnsi"/>
        </w:rPr>
        <w:lastRenderedPageBreak/>
        <w:t xml:space="preserve">Adjusted OPP = OPP + CREF + REPC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300">
        <w:rPr>
          <w:rFonts w:cstheme="minorHAnsi"/>
          <w:b/>
          <w:bCs/>
        </w:rPr>
        <w:t>(Equation RC-1)</w:t>
      </w:r>
    </w:p>
    <w:p w14:paraId="186C25A6" w14:textId="77777777" w:rsidR="004C1300" w:rsidRPr="004C1300" w:rsidRDefault="004C1300" w:rsidP="004C13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1300">
        <w:rPr>
          <w:rFonts w:cstheme="minorHAnsi"/>
        </w:rPr>
        <w:t>where:</w:t>
      </w:r>
    </w:p>
    <w:p w14:paraId="233683DB" w14:textId="652C3636" w:rsidR="004C1300" w:rsidRPr="004C1300" w:rsidRDefault="004C1300" w:rsidP="0091055F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4C1300">
        <w:rPr>
          <w:rFonts w:cstheme="minorHAnsi"/>
        </w:rPr>
        <w:t>CREF = Community Renewable Energy Facility power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production—the yearly energy, in kilowatt hour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equivalent (kWheq), contracted from a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community renewable energy facility that is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qualified under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applicable state and local utility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statutes and rules, and that allocates bill credits to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the rated home.</w:t>
      </w:r>
    </w:p>
    <w:p w14:paraId="63CE672C" w14:textId="21AC38D6" w:rsidR="0002227D" w:rsidRDefault="004C1300" w:rsidP="0091055F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4C1300">
        <w:rPr>
          <w:rFonts w:cstheme="minorHAnsi"/>
        </w:rPr>
        <w:t>REPC = Renewable Energy Purchase Contract power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production—the yearly energy, in kilowatt hour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equivalent (kWheq), contracted from an energy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facility that generates energy with photovoltaic,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solar thermal, geothermal energy or wind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systems, and that is demonstrated by an energy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purchase contract or lease with a duration of not</w:t>
      </w:r>
      <w:r w:rsidR="0091055F">
        <w:rPr>
          <w:rFonts w:cstheme="minorHAnsi"/>
        </w:rPr>
        <w:t xml:space="preserve"> </w:t>
      </w:r>
      <w:r w:rsidRPr="004C1300">
        <w:rPr>
          <w:rFonts w:cstheme="minorHAnsi"/>
        </w:rPr>
        <w:t>less than 15 years.</w:t>
      </w:r>
    </w:p>
    <w:p w14:paraId="670D205D" w14:textId="77777777" w:rsidR="0091055F" w:rsidRPr="0091055F" w:rsidRDefault="0091055F" w:rsidP="0091055F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</w:p>
    <w:bookmarkEnd w:id="4"/>
    <w:p w14:paraId="6F829D1C" w14:textId="7A8B30D8" w:rsidR="009B2042" w:rsidRPr="008D42F3" w:rsidRDefault="009B2042" w:rsidP="009B20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459EA17" w14:textId="77777777" w:rsidR="000D44E6" w:rsidRPr="0091055F" w:rsidRDefault="000D44E6" w:rsidP="000D4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1055F">
        <w:rPr>
          <w:rFonts w:cstheme="minorHAnsi"/>
          <w:b/>
          <w:bCs/>
        </w:rPr>
        <w:t>TABLE RC102.2</w:t>
      </w:r>
    </w:p>
    <w:p w14:paraId="68765D07" w14:textId="0D180EA9" w:rsidR="000D44E6" w:rsidRPr="0091055F" w:rsidRDefault="000D44E6" w:rsidP="000D4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trike/>
        </w:rPr>
      </w:pPr>
      <w:r w:rsidRPr="0091055F">
        <w:rPr>
          <w:rFonts w:cstheme="minorHAnsi"/>
          <w:b/>
          <w:bCs/>
        </w:rPr>
        <w:t>MAXIMUM ENERGY RATING INDEX</w:t>
      </w:r>
      <w:r w:rsidRPr="0091055F">
        <w:rPr>
          <w:rFonts w:cstheme="minorHAnsi"/>
          <w:b/>
          <w:bCs/>
          <w:strike/>
          <w:vertAlign w:val="superscript"/>
        </w:rPr>
        <w:t>a</w:t>
      </w:r>
    </w:p>
    <w:p w14:paraId="6EF72CD4" w14:textId="1B7FAD24" w:rsidR="00CD3AC3" w:rsidRPr="0091055F" w:rsidRDefault="00CD3AC3" w:rsidP="000D4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trike/>
        </w:rPr>
      </w:pPr>
    </w:p>
    <w:p w14:paraId="6C29C24A" w14:textId="4F27923F" w:rsidR="00CD3AC3" w:rsidRPr="0091055F" w:rsidRDefault="0091055F" w:rsidP="000D44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trike/>
        </w:rPr>
      </w:pPr>
      <w:r w:rsidRPr="0091055F">
        <w:rPr>
          <w:rFonts w:cstheme="minorHAnsi"/>
          <w:b/>
          <w:bCs/>
          <w:strike/>
        </w:rPr>
        <w:drawing>
          <wp:inline distT="0" distB="0" distL="0" distR="0" wp14:anchorId="3C2268E2" wp14:editId="06A56D08">
            <wp:extent cx="4676414" cy="273656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1435" cy="27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0668D" w14:textId="2ED475CF" w:rsidR="00CD3AC3" w:rsidRDefault="00CD3AC3" w:rsidP="00910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trike/>
          <w:sz w:val="10"/>
          <w:szCs w:val="10"/>
        </w:rPr>
      </w:pPr>
    </w:p>
    <w:p w14:paraId="4A7E02CA" w14:textId="77777777" w:rsidR="00CD3AC3" w:rsidRDefault="00CD3AC3" w:rsidP="000D44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79EAFABC" w14:textId="5916EA59" w:rsidR="000D44E6" w:rsidRPr="0091055F" w:rsidRDefault="000D44E6" w:rsidP="0091055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trike/>
        </w:rPr>
      </w:pPr>
      <w:bookmarkStart w:id="6" w:name="_Hlk106008336"/>
      <w:r w:rsidRPr="0091055F">
        <w:rPr>
          <w:rFonts w:cstheme="minorHAnsi"/>
          <w:strike/>
        </w:rPr>
        <w:t>a. The building shall meet the requirements of Table R406.2, and the building</w:t>
      </w:r>
      <w:r w:rsidRPr="0091055F">
        <w:rPr>
          <w:rFonts w:cstheme="minorHAnsi"/>
          <w:strike/>
        </w:rPr>
        <w:t xml:space="preserve"> </w:t>
      </w:r>
      <w:r w:rsidRPr="0091055F">
        <w:rPr>
          <w:rFonts w:cstheme="minorHAnsi"/>
          <w:strike/>
        </w:rPr>
        <w:t>thermal envelope shall be greater than or equal to the levels of</w:t>
      </w:r>
      <w:r w:rsidRPr="0091055F">
        <w:rPr>
          <w:rFonts w:cstheme="minorHAnsi"/>
          <w:strike/>
        </w:rPr>
        <w:t xml:space="preserve"> </w:t>
      </w:r>
      <w:r w:rsidRPr="0091055F">
        <w:rPr>
          <w:rFonts w:cstheme="minorHAnsi"/>
          <w:strike/>
        </w:rPr>
        <w:t>efficiency and SHGC in Table R402.1.2 or R402.1.3.</w:t>
      </w:r>
    </w:p>
    <w:p w14:paraId="4E61C685" w14:textId="77777777" w:rsidR="000D44E6" w:rsidRPr="0091055F" w:rsidRDefault="000D44E6" w:rsidP="0091055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i/>
          <w:iCs/>
          <w:color w:val="FF0000"/>
        </w:rPr>
      </w:pPr>
    </w:p>
    <w:bookmarkEnd w:id="6"/>
    <w:p w14:paraId="4A7AED3A" w14:textId="77777777" w:rsidR="000D44E6" w:rsidRDefault="000D44E6" w:rsidP="008D42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0"/>
          <w:szCs w:val="20"/>
        </w:rPr>
      </w:pPr>
    </w:p>
    <w:p w14:paraId="100AAA68" w14:textId="77777777" w:rsidR="008D42F3" w:rsidRPr="008D42F3" w:rsidRDefault="008D42F3" w:rsidP="008D42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0"/>
          <w:szCs w:val="20"/>
        </w:rPr>
      </w:pPr>
    </w:p>
    <w:p w14:paraId="53B4860A" w14:textId="6D65CA4E" w:rsidR="0078138B" w:rsidRPr="0044159A" w:rsidRDefault="0078138B" w:rsidP="0078138B">
      <w:pPr>
        <w:shd w:val="clear" w:color="auto" w:fill="FFFFFF"/>
        <w:rPr>
          <w:rFonts w:eastAsia="Times New Roman" w:cstheme="minorHAnsi"/>
          <w:i/>
          <w:iCs/>
          <w:color w:val="FF0000"/>
          <w:sz w:val="21"/>
          <w:szCs w:val="21"/>
        </w:rPr>
      </w:pPr>
      <w:r w:rsidRPr="0044159A">
        <w:rPr>
          <w:rFonts w:eastAsia="Times New Roman" w:cstheme="minorHAnsi"/>
          <w:b/>
          <w:bCs/>
          <w:i/>
          <w:iCs/>
          <w:color w:val="FF0000"/>
          <w:sz w:val="21"/>
          <w:szCs w:val="21"/>
        </w:rPr>
        <w:t>Add new standard(s) as follows: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9192"/>
      </w:tblGrid>
      <w:tr w:rsidR="0078138B" w:rsidRPr="008D42F3" w14:paraId="2E4CDE1A" w14:textId="77777777" w:rsidTr="007813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710EA" w14:textId="77777777" w:rsidR="0078138B" w:rsidRPr="008D42F3" w:rsidRDefault="0078138B" w:rsidP="007813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42F3">
              <w:rPr>
                <w:rFonts w:eastAsia="Times New Roman" w:cstheme="minorHAnsi"/>
                <w:b/>
                <w:bCs/>
                <w:sz w:val="24"/>
                <w:szCs w:val="24"/>
              </w:rPr>
              <w:t>ASHRAE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0AE56" w14:textId="77777777" w:rsidR="0078138B" w:rsidRPr="008D42F3" w:rsidRDefault="0078138B" w:rsidP="0078138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8D42F3">
              <w:rPr>
                <w:rFonts w:eastAsia="Times New Roman" w:cstheme="minorHAnsi"/>
                <w:sz w:val="24"/>
                <w:szCs w:val="24"/>
              </w:rPr>
              <w:t>ASHRAE180 Technology Parkway NWPeachtree Corners GA 30092</w:t>
            </w:r>
          </w:p>
        </w:tc>
      </w:tr>
    </w:tbl>
    <w:p w14:paraId="55F16283" w14:textId="77777777" w:rsidR="0078138B" w:rsidRPr="008D42F3" w:rsidRDefault="0078138B" w:rsidP="0078138B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000000"/>
          <w:sz w:val="21"/>
          <w:szCs w:val="21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16200"/>
      </w:tblGrid>
      <w:tr w:rsidR="0078138B" w:rsidRPr="008D42F3" w14:paraId="0828A687" w14:textId="77777777" w:rsidTr="0078138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D17FA" w14:textId="77777777" w:rsidR="0078138B" w:rsidRPr="008D42F3" w:rsidRDefault="0078138B" w:rsidP="007813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42F3">
              <w:rPr>
                <w:rFonts w:eastAsia="Times New Roman" w:cstheme="minorHAnsi"/>
                <w:sz w:val="21"/>
                <w:szCs w:val="21"/>
                <w:u w:val="single"/>
              </w:rPr>
              <w:t>ASHRAE/IES 90.2-2018: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DAA3D" w14:textId="77777777" w:rsidR="0078138B" w:rsidRPr="008D42F3" w:rsidRDefault="0078138B" w:rsidP="0078138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u w:val="single"/>
              </w:rPr>
            </w:pPr>
            <w:r w:rsidRPr="008D42F3">
              <w:rPr>
                <w:rFonts w:eastAsia="Times New Roman" w:cstheme="minorHAnsi"/>
                <w:sz w:val="21"/>
                <w:szCs w:val="21"/>
                <w:u w:val="single"/>
              </w:rPr>
              <w:t>Energy-Efficient Design of Low-Rise Residential Buildings</w:t>
            </w:r>
          </w:p>
        </w:tc>
      </w:tr>
    </w:tbl>
    <w:p w14:paraId="23F59036" w14:textId="1C7C6443" w:rsidR="008868AA" w:rsidRPr="008D42F3" w:rsidRDefault="0078138B" w:rsidP="007574AD">
      <w:pPr>
        <w:rPr>
          <w:rFonts w:cstheme="minorHAnsi"/>
          <w:u w:val="single"/>
        </w:rPr>
      </w:pPr>
      <w:r w:rsidRPr="008D42F3">
        <w:rPr>
          <w:rFonts w:cstheme="minorHAnsi"/>
          <w:u w:val="single"/>
        </w:rPr>
        <w:t xml:space="preserve">Including </w:t>
      </w:r>
      <w:r w:rsidR="004B7020" w:rsidRPr="008D42F3">
        <w:rPr>
          <w:rFonts w:cstheme="minorHAnsi"/>
          <w:u w:val="single"/>
        </w:rPr>
        <w:t>approved addenda (</w:t>
      </w:r>
      <w:r w:rsidR="0045780D" w:rsidRPr="008D42F3">
        <w:rPr>
          <w:rFonts w:cstheme="minorHAnsi"/>
          <w:u w:val="single"/>
        </w:rPr>
        <w:t>Addenda A (approved Jan 2021), B (June 2021) and D (February 2022)</w:t>
      </w:r>
      <w:r w:rsidR="004B7020" w:rsidRPr="008D42F3">
        <w:rPr>
          <w:rFonts w:cstheme="minorHAnsi"/>
          <w:u w:val="single"/>
        </w:rPr>
        <w:t>)</w:t>
      </w:r>
    </w:p>
    <w:p w14:paraId="19E2DCEA" w14:textId="77777777" w:rsidR="00171BFA" w:rsidRDefault="00171BFA" w:rsidP="00171BFA">
      <w:pPr>
        <w:pBdr>
          <w:bottom w:val="single" w:sz="6" w:space="1" w:color="auto"/>
        </w:pBdr>
        <w:rPr>
          <w:b/>
          <w:bCs/>
          <w:color w:val="FF0000"/>
        </w:rPr>
      </w:pPr>
    </w:p>
    <w:p w14:paraId="3A9095E7" w14:textId="57D3A1BF" w:rsidR="0045780D" w:rsidRDefault="0045780D" w:rsidP="007574AD">
      <w:pPr>
        <w:rPr>
          <w:u w:val="single"/>
        </w:rPr>
      </w:pPr>
    </w:p>
    <w:p w14:paraId="13013F50" w14:textId="77777777" w:rsidR="00BE0864" w:rsidRDefault="00BE0864" w:rsidP="007574AD">
      <w:pPr>
        <w:rPr>
          <w:b/>
          <w:bCs/>
        </w:rPr>
      </w:pPr>
    </w:p>
    <w:p w14:paraId="7618A268" w14:textId="77777777" w:rsidR="00BE0864" w:rsidRDefault="00BE0864" w:rsidP="007574AD">
      <w:pPr>
        <w:rPr>
          <w:b/>
          <w:bCs/>
        </w:rPr>
      </w:pPr>
    </w:p>
    <w:p w14:paraId="6CF10CA0" w14:textId="0A1D5A97" w:rsidR="0045780D" w:rsidRDefault="0021527D" w:rsidP="007574AD">
      <w:pPr>
        <w:rPr>
          <w:b/>
          <w:bCs/>
        </w:rPr>
      </w:pPr>
      <w:r>
        <w:rPr>
          <w:b/>
          <w:bCs/>
        </w:rPr>
        <w:lastRenderedPageBreak/>
        <w:t>Modification</w:t>
      </w:r>
      <w:r w:rsidR="005B70B8">
        <w:rPr>
          <w:b/>
          <w:bCs/>
        </w:rPr>
        <w:t xml:space="preserve"> Reason</w:t>
      </w:r>
      <w:r>
        <w:rPr>
          <w:b/>
          <w:bCs/>
        </w:rPr>
        <w:t>:</w:t>
      </w:r>
    </w:p>
    <w:p w14:paraId="737762FC" w14:textId="677808E1" w:rsidR="00A37D90" w:rsidRDefault="00A37D90" w:rsidP="007574AD">
      <w:r w:rsidRPr="00A37D90">
        <w:t>R</w:t>
      </w:r>
      <w:r>
        <w:t>EPI-157 as originally proposed replaced the ERI Table with ASHRAE 90.2.  This modification</w:t>
      </w:r>
      <w:r w:rsidR="0021527D">
        <w:t xml:space="preserve"> </w:t>
      </w:r>
      <w:r>
        <w:t>allows ASHRAE 90.2 as a compliance option while maintaining the current Appendix RC as an option.</w:t>
      </w:r>
    </w:p>
    <w:p w14:paraId="207CC850" w14:textId="1E4B76A3" w:rsidR="00A37D90" w:rsidRPr="00A37D90" w:rsidRDefault="00A37D90" w:rsidP="007574AD">
      <w:r>
        <w:t>This modification also</w:t>
      </w:r>
      <w:r w:rsidR="0021527D">
        <w:t xml:space="preserve"> adds the mandatory requirements to the base ERI score.  The mandatory requirements are from Table R406.2 </w:t>
      </w:r>
      <w:r w:rsidR="00AC12A4">
        <w:t xml:space="preserve">and Sections </w:t>
      </w:r>
      <w:r w:rsidR="00AC12A4" w:rsidRPr="00AC12A4">
        <w:t>406.3, 406.6 and 406.7</w:t>
      </w:r>
      <w:r w:rsidR="00AC12A4">
        <w:t>.</w:t>
      </w:r>
      <w:r w:rsidR="00AC12A4" w:rsidRPr="00AC12A4">
        <w:t xml:space="preserve"> </w:t>
      </w:r>
    </w:p>
    <w:p w14:paraId="7DBD76E2" w14:textId="4DCF5EFC" w:rsidR="001D4BF9" w:rsidRDefault="001D4BF9" w:rsidP="007574AD">
      <w:r>
        <w:t>The following mandatory requirements were added to the 90.2 option:</w:t>
      </w:r>
    </w:p>
    <w:p w14:paraId="7580ABB7" w14:textId="24A44ED2" w:rsidR="00F9161E" w:rsidRDefault="00F9161E" w:rsidP="00F9161E">
      <w:pPr>
        <w:pStyle w:val="ListParagraph"/>
        <w:numPr>
          <w:ilvl w:val="0"/>
          <w:numId w:val="4"/>
        </w:numPr>
      </w:pPr>
      <w:r>
        <w:t>R402.4.1.1 (Air barrier and insulation installation)</w:t>
      </w:r>
    </w:p>
    <w:p w14:paraId="49FBFA2C" w14:textId="193EC691" w:rsidR="00F9161E" w:rsidRDefault="00F9161E" w:rsidP="00F9161E">
      <w:pPr>
        <w:pStyle w:val="ListParagraph"/>
        <w:numPr>
          <w:ilvl w:val="0"/>
          <w:numId w:val="4"/>
        </w:numPr>
      </w:pPr>
      <w:r>
        <w:t>R402.4.1.2 (Air barrier testing)</w:t>
      </w:r>
    </w:p>
    <w:p w14:paraId="11FE70EF" w14:textId="2C95C52B" w:rsidR="002514CC" w:rsidRDefault="002514CC" w:rsidP="00F9161E">
      <w:pPr>
        <w:pStyle w:val="ListParagraph"/>
        <w:numPr>
          <w:ilvl w:val="0"/>
          <w:numId w:val="4"/>
        </w:numPr>
      </w:pPr>
      <w:r>
        <w:t>R404.4 (</w:t>
      </w:r>
      <w:r w:rsidR="001701C6">
        <w:t>Electric readiness) ----------------------------------------</w:t>
      </w:r>
      <w:r w:rsidR="0021527D">
        <w:t xml:space="preserve"> (see</w:t>
      </w:r>
      <w:r w:rsidR="001701C6">
        <w:t xml:space="preserve"> REPI-111</w:t>
      </w:r>
      <w:r w:rsidR="008D42F3">
        <w:t>)</w:t>
      </w:r>
    </w:p>
    <w:p w14:paraId="08B9C3F6" w14:textId="58497B21" w:rsidR="008D42F3" w:rsidRDefault="008D42F3" w:rsidP="00F9161E">
      <w:pPr>
        <w:pStyle w:val="ListParagraph"/>
        <w:numPr>
          <w:ilvl w:val="0"/>
          <w:numId w:val="4"/>
        </w:numPr>
      </w:pPr>
      <w:r>
        <w:t>R404.4 (</w:t>
      </w:r>
      <w:r w:rsidRPr="008D42F3">
        <w:t>Electric Vehicle Power Transfer Infrastructure)</w:t>
      </w:r>
      <w:r>
        <w:t xml:space="preserve"> --- (see RECPI-6)</w:t>
      </w:r>
    </w:p>
    <w:p w14:paraId="56F12305" w14:textId="7F4990B2" w:rsidR="0045780D" w:rsidRPr="0045780D" w:rsidRDefault="0045780D" w:rsidP="007574AD">
      <w:r w:rsidRPr="0045780D">
        <w:t xml:space="preserve">Updates reference standard </w:t>
      </w:r>
      <w:r w:rsidR="003852A4">
        <w:t xml:space="preserve">ASHRAE 90.2 </w:t>
      </w:r>
      <w:r w:rsidRPr="0045780D">
        <w:t>with approved Addenda:</w:t>
      </w:r>
    </w:p>
    <w:p w14:paraId="6AD1957B" w14:textId="77777777" w:rsidR="003852A4" w:rsidRPr="003852A4" w:rsidRDefault="0045780D" w:rsidP="003852A4">
      <w:pPr>
        <w:pStyle w:val="ListParagraph"/>
        <w:numPr>
          <w:ilvl w:val="0"/>
          <w:numId w:val="2"/>
        </w:numPr>
      </w:pPr>
      <w:r w:rsidRPr="0045780D">
        <w:t>Addenda A (January 2021) – Updates reference</w:t>
      </w:r>
      <w:r>
        <w:t xml:space="preserve">d standards including </w:t>
      </w:r>
      <w:r w:rsidR="003852A4">
        <w:t xml:space="preserve">updates of ANSI/RESNET/ICC 301 to 2019 edition, ANSI/RESNET/ICC 380 to 2019 edition and the addition of ASTM E3158 </w:t>
      </w:r>
      <w:r w:rsidR="003852A4" w:rsidRPr="003852A4">
        <w:rPr>
          <w:i/>
          <w:iCs/>
        </w:rPr>
        <w:t>Standard Test Method for Measuring the Air Leakage Rate of Large or Multizone Building</w:t>
      </w:r>
    </w:p>
    <w:p w14:paraId="4BD0C7BA" w14:textId="77777777" w:rsidR="00D502ED" w:rsidRDefault="003852A4" w:rsidP="003852A4">
      <w:pPr>
        <w:pStyle w:val="ListParagraph"/>
        <w:numPr>
          <w:ilvl w:val="0"/>
          <w:numId w:val="2"/>
        </w:numPr>
      </w:pPr>
      <w:r>
        <w:t xml:space="preserve">Addenda B (June 2021) – Clarifies lighting provisions for common areas in multifamily </w:t>
      </w:r>
      <w:r w:rsidR="00D502ED">
        <w:t>structures</w:t>
      </w:r>
    </w:p>
    <w:p w14:paraId="5DFA6C0B" w14:textId="50130AE7" w:rsidR="0045780D" w:rsidRPr="004955D6" w:rsidRDefault="00D502ED" w:rsidP="00FB3B71">
      <w:pPr>
        <w:pStyle w:val="ListParagraph"/>
        <w:numPr>
          <w:ilvl w:val="0"/>
          <w:numId w:val="2"/>
        </w:numPr>
        <w:rPr>
          <w:i/>
          <w:iCs/>
          <w:u w:val="single"/>
        </w:rPr>
      </w:pPr>
      <w:r>
        <w:t xml:space="preserve">Addenda D (February 2022) – </w:t>
      </w:r>
      <w:r w:rsidRPr="00D502ED">
        <w:t xml:space="preserve">Adds basic indoor environmental quality requirements for lighting systems.  Adds reference to </w:t>
      </w:r>
      <w:r w:rsidRPr="00D502ED">
        <w:rPr>
          <w:i/>
          <w:iCs/>
        </w:rPr>
        <w:t>2019 CA Title 24 Part 6 JA8</w:t>
      </w:r>
      <w:r>
        <w:rPr>
          <w:i/>
          <w:iCs/>
        </w:rPr>
        <w:t>,</w:t>
      </w:r>
      <w:r w:rsidRPr="00D502ED">
        <w:rPr>
          <w:i/>
          <w:iCs/>
        </w:rPr>
        <w:t xml:space="preserve"> Building Energy Efficiency Standards Joint Appendix 8</w:t>
      </w:r>
    </w:p>
    <w:p w14:paraId="74C4C5F3" w14:textId="67B9A706" w:rsidR="004955D6" w:rsidRDefault="004955D6">
      <w:pPr>
        <w:rPr>
          <w:i/>
          <w:iCs/>
          <w:u w:val="single"/>
        </w:rPr>
      </w:pPr>
    </w:p>
    <w:sectPr w:rsidR="00495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D1B"/>
    <w:multiLevelType w:val="hybridMultilevel"/>
    <w:tmpl w:val="985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320F2"/>
    <w:multiLevelType w:val="hybridMultilevel"/>
    <w:tmpl w:val="48BA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F1298"/>
    <w:multiLevelType w:val="hybridMultilevel"/>
    <w:tmpl w:val="05D05FC0"/>
    <w:lvl w:ilvl="0" w:tplc="CC3A43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5357"/>
    <w:multiLevelType w:val="hybridMultilevel"/>
    <w:tmpl w:val="0CF0D120"/>
    <w:lvl w:ilvl="0" w:tplc="37EEFC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F5C6B"/>
    <w:multiLevelType w:val="hybridMultilevel"/>
    <w:tmpl w:val="8E34F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1126B3"/>
    <w:multiLevelType w:val="hybridMultilevel"/>
    <w:tmpl w:val="A22E4AFA"/>
    <w:lvl w:ilvl="0" w:tplc="D6FAC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D4CDE"/>
    <w:multiLevelType w:val="hybridMultilevel"/>
    <w:tmpl w:val="111231BA"/>
    <w:lvl w:ilvl="0" w:tplc="319EF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06533E"/>
    <w:multiLevelType w:val="hybridMultilevel"/>
    <w:tmpl w:val="1098F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997008">
    <w:abstractNumId w:val="3"/>
  </w:num>
  <w:num w:numId="2" w16cid:durableId="112797322">
    <w:abstractNumId w:val="1"/>
  </w:num>
  <w:num w:numId="3" w16cid:durableId="468669208">
    <w:abstractNumId w:val="6"/>
  </w:num>
  <w:num w:numId="4" w16cid:durableId="631323364">
    <w:abstractNumId w:val="0"/>
  </w:num>
  <w:num w:numId="5" w16cid:durableId="792408566">
    <w:abstractNumId w:val="2"/>
  </w:num>
  <w:num w:numId="6" w16cid:durableId="1054155707">
    <w:abstractNumId w:val="7"/>
  </w:num>
  <w:num w:numId="7" w16cid:durableId="2129081452">
    <w:abstractNumId w:val="4"/>
  </w:num>
  <w:num w:numId="8" w16cid:durableId="154759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AD"/>
    <w:rsid w:val="00005E7E"/>
    <w:rsid w:val="0002227D"/>
    <w:rsid w:val="000C6FB1"/>
    <w:rsid w:val="000D44E6"/>
    <w:rsid w:val="000D517A"/>
    <w:rsid w:val="000F04A8"/>
    <w:rsid w:val="001701C6"/>
    <w:rsid w:val="00171BFA"/>
    <w:rsid w:val="00172CA3"/>
    <w:rsid w:val="001A2A7A"/>
    <w:rsid w:val="001D4BF9"/>
    <w:rsid w:val="001F0570"/>
    <w:rsid w:val="001F4F75"/>
    <w:rsid w:val="0021527D"/>
    <w:rsid w:val="002156BD"/>
    <w:rsid w:val="00225521"/>
    <w:rsid w:val="002514CC"/>
    <w:rsid w:val="002923F4"/>
    <w:rsid w:val="002F6864"/>
    <w:rsid w:val="00383CB0"/>
    <w:rsid w:val="003852A4"/>
    <w:rsid w:val="00387531"/>
    <w:rsid w:val="00413013"/>
    <w:rsid w:val="00441190"/>
    <w:rsid w:val="0044159A"/>
    <w:rsid w:val="0045780D"/>
    <w:rsid w:val="004955D6"/>
    <w:rsid w:val="004B7020"/>
    <w:rsid w:val="004C1300"/>
    <w:rsid w:val="004E213E"/>
    <w:rsid w:val="005B70B8"/>
    <w:rsid w:val="005E41C6"/>
    <w:rsid w:val="005E5AA2"/>
    <w:rsid w:val="00692D17"/>
    <w:rsid w:val="006B6D5E"/>
    <w:rsid w:val="006C3838"/>
    <w:rsid w:val="00701F85"/>
    <w:rsid w:val="0075559D"/>
    <w:rsid w:val="007574AD"/>
    <w:rsid w:val="0078138B"/>
    <w:rsid w:val="0078307D"/>
    <w:rsid w:val="00813998"/>
    <w:rsid w:val="0085279F"/>
    <w:rsid w:val="008611E4"/>
    <w:rsid w:val="008A7623"/>
    <w:rsid w:val="008D42F3"/>
    <w:rsid w:val="00903B62"/>
    <w:rsid w:val="0091055F"/>
    <w:rsid w:val="00937A4C"/>
    <w:rsid w:val="00955D15"/>
    <w:rsid w:val="00974E49"/>
    <w:rsid w:val="00993C05"/>
    <w:rsid w:val="009A61F7"/>
    <w:rsid w:val="009B2042"/>
    <w:rsid w:val="00A2212E"/>
    <w:rsid w:val="00A37D90"/>
    <w:rsid w:val="00A60D56"/>
    <w:rsid w:val="00A95283"/>
    <w:rsid w:val="00A9726B"/>
    <w:rsid w:val="00AC12A4"/>
    <w:rsid w:val="00AF0E15"/>
    <w:rsid w:val="00B23A6A"/>
    <w:rsid w:val="00BE0864"/>
    <w:rsid w:val="00C93B56"/>
    <w:rsid w:val="00CD3AC3"/>
    <w:rsid w:val="00CF05C4"/>
    <w:rsid w:val="00D334DF"/>
    <w:rsid w:val="00D502ED"/>
    <w:rsid w:val="00E3595F"/>
    <w:rsid w:val="00EC4366"/>
    <w:rsid w:val="00ED0B59"/>
    <w:rsid w:val="00EF51C4"/>
    <w:rsid w:val="00F10068"/>
    <w:rsid w:val="00F26020"/>
    <w:rsid w:val="00F9161E"/>
    <w:rsid w:val="00F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3974"/>
  <w15:chartTrackingRefBased/>
  <w15:docId w15:val="{19C3BDCA-0DD9-4BEF-A439-4478237E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3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7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A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3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Weston</dc:creator>
  <cp:keywords/>
  <dc:description/>
  <cp:lastModifiedBy>Theresa Weston</cp:lastModifiedBy>
  <cp:revision>4</cp:revision>
  <dcterms:created xsi:type="dcterms:W3CDTF">2022-06-13T14:01:00Z</dcterms:created>
  <dcterms:modified xsi:type="dcterms:W3CDTF">2022-06-13T14:57:00Z</dcterms:modified>
</cp:coreProperties>
</file>