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C7F0" w14:textId="10E47F52" w:rsidR="00234FA1" w:rsidRDefault="00A413BB" w:rsidP="00A413BB">
      <w:pPr>
        <w:spacing w:after="0" w:line="240" w:lineRule="auto"/>
      </w:pPr>
      <w:r>
        <w:t>RED1-330-22</w:t>
      </w:r>
    </w:p>
    <w:p w14:paraId="0AF5AE2C" w14:textId="3F9052BB" w:rsidR="00A413BB" w:rsidRDefault="00A413BB" w:rsidP="00A413BB">
      <w:pPr>
        <w:autoSpaceDE w:val="0"/>
        <w:autoSpaceDN w:val="0"/>
        <w:adjustRightInd w:val="0"/>
        <w:spacing w:after="0" w:line="240" w:lineRule="auto"/>
        <w:rPr>
          <w:rFonts w:ascii="NimbusSanL-Bold" w:hAnsi="NimbusSanL-Bold" w:cs="NimbusSanL-Bold"/>
          <w:b/>
          <w:bCs/>
          <w:sz w:val="17"/>
          <w:szCs w:val="17"/>
        </w:rPr>
      </w:pPr>
    </w:p>
    <w:p w14:paraId="1EC2B0AB" w14:textId="73B67BDA" w:rsidR="00D42ECF" w:rsidRDefault="00D42ECF" w:rsidP="00A413BB">
      <w:pPr>
        <w:autoSpaceDE w:val="0"/>
        <w:autoSpaceDN w:val="0"/>
        <w:adjustRightInd w:val="0"/>
        <w:spacing w:after="0" w:line="240" w:lineRule="auto"/>
        <w:rPr>
          <w:rFonts w:ascii="NimbusSanL-Bold" w:hAnsi="NimbusSanL-Bold" w:cs="NimbusSanL-Bold"/>
          <w:b/>
          <w:bCs/>
          <w:sz w:val="17"/>
          <w:szCs w:val="17"/>
        </w:rPr>
      </w:pPr>
      <w:r w:rsidRPr="00D42ECF">
        <w:rPr>
          <w:rFonts w:ascii="NimbusSanL-Bold" w:hAnsi="NimbusSanL-Bold" w:cs="NimbusSanL-Bold"/>
          <w:b/>
          <w:bCs/>
          <w:color w:val="FF0000"/>
          <w:sz w:val="17"/>
          <w:szCs w:val="17"/>
        </w:rPr>
        <w:t xml:space="preserve">Replace the original proposal with the following: </w:t>
      </w:r>
    </w:p>
    <w:p w14:paraId="732DCFF8" w14:textId="77777777" w:rsidR="00D42ECF" w:rsidRDefault="00D42ECF" w:rsidP="00A413BB">
      <w:pPr>
        <w:autoSpaceDE w:val="0"/>
        <w:autoSpaceDN w:val="0"/>
        <w:adjustRightInd w:val="0"/>
        <w:spacing w:after="0" w:line="240" w:lineRule="auto"/>
        <w:rPr>
          <w:rFonts w:ascii="NimbusSanL-Bold" w:hAnsi="NimbusSanL-Bold" w:cs="NimbusSanL-Bold"/>
          <w:b/>
          <w:bCs/>
          <w:sz w:val="17"/>
          <w:szCs w:val="17"/>
        </w:rPr>
      </w:pPr>
    </w:p>
    <w:p w14:paraId="778EE478" w14:textId="72EF4CED" w:rsidR="00A413BB" w:rsidRDefault="00A413BB" w:rsidP="00A413BB">
      <w:pPr>
        <w:autoSpaceDE w:val="0"/>
        <w:autoSpaceDN w:val="0"/>
        <w:adjustRightInd w:val="0"/>
        <w:spacing w:after="0" w:line="240" w:lineRule="auto"/>
        <w:rPr>
          <w:rFonts w:ascii="NimbusSanL-Regu" w:hAnsi="NimbusSanL-Regu" w:cs="NimbusSanL-Regu"/>
          <w:sz w:val="17"/>
          <w:szCs w:val="17"/>
        </w:rPr>
      </w:pPr>
      <w:r>
        <w:rPr>
          <w:rFonts w:ascii="NimbusSanL-Bold" w:hAnsi="NimbusSanL-Bold" w:cs="NimbusSanL-Bold"/>
          <w:b/>
          <w:bCs/>
          <w:sz w:val="17"/>
          <w:szCs w:val="17"/>
        </w:rPr>
        <w:t xml:space="preserve">N1104.1 Lighting equipment. </w:t>
      </w:r>
      <w:r>
        <w:rPr>
          <w:rFonts w:ascii="NimbusSanL-Regu" w:hAnsi="NimbusSanL-Regu" w:cs="NimbusSanL-Regu"/>
          <w:sz w:val="17"/>
          <w:szCs w:val="17"/>
        </w:rPr>
        <w:t xml:space="preserve">All permanently installed luminaires shall be capable of operation with an efficacy of not less than 45 lumens per watt or shall contain lamps capable of operation </w:t>
      </w:r>
      <w:r w:rsidR="006A21D0" w:rsidRPr="006A21D0">
        <w:rPr>
          <w:rFonts w:ascii="NimbusSanL-Regu" w:hAnsi="NimbusSanL-Regu" w:cs="NimbusSanL-Regu"/>
          <w:strike/>
          <w:sz w:val="17"/>
          <w:szCs w:val="17"/>
        </w:rPr>
        <w:t>at</w:t>
      </w:r>
      <w:r w:rsidR="006A21D0">
        <w:rPr>
          <w:rFonts w:ascii="NimbusSanL-Regu" w:hAnsi="NimbusSanL-Regu" w:cs="NimbusSanL-Regu"/>
          <w:sz w:val="17"/>
          <w:szCs w:val="17"/>
        </w:rPr>
        <w:t xml:space="preserve"> </w:t>
      </w:r>
      <w:r w:rsidR="006A21D0" w:rsidRPr="006A21D0">
        <w:rPr>
          <w:rFonts w:ascii="NimbusSanL-Regu" w:hAnsi="NimbusSanL-Regu" w:cs="NimbusSanL-Regu"/>
          <w:sz w:val="17"/>
          <w:szCs w:val="17"/>
          <w:u w:val="single"/>
        </w:rPr>
        <w:t xml:space="preserve">with an efficacy of </w:t>
      </w:r>
      <w:r w:rsidRPr="006A21D0">
        <w:rPr>
          <w:rFonts w:ascii="NimbusSanL-Regu" w:hAnsi="NimbusSanL-Regu" w:cs="NimbusSanL-Regu"/>
          <w:sz w:val="17"/>
          <w:szCs w:val="17"/>
          <w:u w:val="single"/>
        </w:rPr>
        <w:t>n</w:t>
      </w:r>
      <w:r w:rsidRPr="00A413BB">
        <w:rPr>
          <w:rFonts w:ascii="NimbusSanL-Regu" w:hAnsi="NimbusSanL-Regu" w:cs="NimbusSanL-Regu"/>
          <w:sz w:val="17"/>
          <w:szCs w:val="17"/>
          <w:u w:val="single"/>
        </w:rPr>
        <w:t>ot less than</w:t>
      </w:r>
      <w:r>
        <w:rPr>
          <w:rFonts w:ascii="NimbusSanL-Regu" w:hAnsi="NimbusSanL-Regu" w:cs="NimbusSanL-Regu"/>
          <w:sz w:val="17"/>
          <w:szCs w:val="17"/>
        </w:rPr>
        <w:t xml:space="preserve"> 65 lumens per watt</w:t>
      </w:r>
      <w:r w:rsidRPr="00A413BB">
        <w:rPr>
          <w:rFonts w:ascii="NimbusSanL-Regu" w:hAnsi="NimbusSanL-Regu" w:cs="NimbusSanL-Regu"/>
          <w:strike/>
          <w:sz w:val="17"/>
          <w:szCs w:val="17"/>
        </w:rPr>
        <w:t xml:space="preserve"> or greater</w:t>
      </w:r>
      <w:r>
        <w:rPr>
          <w:rFonts w:ascii="NimbusSanL-Regu" w:hAnsi="NimbusSanL-Regu" w:cs="NimbusSanL-Regu"/>
          <w:sz w:val="17"/>
          <w:szCs w:val="17"/>
        </w:rPr>
        <w:t>.</w:t>
      </w:r>
    </w:p>
    <w:p w14:paraId="15DA5557" w14:textId="77777777" w:rsidR="00A413BB" w:rsidRDefault="00A413BB" w:rsidP="00A413BB">
      <w:pPr>
        <w:autoSpaceDE w:val="0"/>
        <w:autoSpaceDN w:val="0"/>
        <w:adjustRightInd w:val="0"/>
        <w:spacing w:after="0" w:line="240" w:lineRule="auto"/>
        <w:rPr>
          <w:rFonts w:ascii="NimbusSanL-Bold" w:hAnsi="NimbusSanL-Bold" w:cs="NimbusSanL-Bold"/>
          <w:b/>
          <w:bCs/>
          <w:sz w:val="17"/>
          <w:szCs w:val="17"/>
        </w:rPr>
      </w:pPr>
    </w:p>
    <w:p w14:paraId="3FDFD20B" w14:textId="2CE98685" w:rsidR="00A413BB" w:rsidRDefault="00A413BB" w:rsidP="00A413BB">
      <w:pPr>
        <w:autoSpaceDE w:val="0"/>
        <w:autoSpaceDN w:val="0"/>
        <w:adjustRightInd w:val="0"/>
        <w:spacing w:after="0" w:line="240" w:lineRule="auto"/>
        <w:rPr>
          <w:rFonts w:ascii="NimbusSanL-Bold" w:hAnsi="NimbusSanL-Bold" w:cs="NimbusSanL-Bold"/>
          <w:b/>
          <w:bCs/>
          <w:sz w:val="17"/>
          <w:szCs w:val="17"/>
        </w:rPr>
      </w:pPr>
      <w:r>
        <w:rPr>
          <w:rFonts w:ascii="NimbusSanL-Bold" w:hAnsi="NimbusSanL-Bold" w:cs="NimbusSanL-Bold"/>
          <w:b/>
          <w:bCs/>
          <w:sz w:val="17"/>
          <w:szCs w:val="17"/>
        </w:rPr>
        <w:t>Exceptions:</w:t>
      </w:r>
    </w:p>
    <w:p w14:paraId="2A6F98A3" w14:textId="4D68B743" w:rsidR="00A413BB" w:rsidRDefault="00A413BB" w:rsidP="00A413BB">
      <w:pPr>
        <w:autoSpaceDE w:val="0"/>
        <w:autoSpaceDN w:val="0"/>
        <w:adjustRightInd w:val="0"/>
        <w:spacing w:after="0" w:line="240" w:lineRule="auto"/>
        <w:rPr>
          <w:rFonts w:ascii="NimbusSanL-Regu" w:hAnsi="NimbusSanL-Regu" w:cs="NimbusSanL-Regu"/>
          <w:sz w:val="17"/>
          <w:szCs w:val="17"/>
        </w:rPr>
      </w:pPr>
      <w:r>
        <w:rPr>
          <w:rFonts w:ascii="NimbusSanL-Regu" w:hAnsi="NimbusSanL-Regu" w:cs="NimbusSanL-Regu"/>
          <w:sz w:val="17"/>
          <w:szCs w:val="17"/>
        </w:rPr>
        <w:t xml:space="preserve">1. </w:t>
      </w:r>
      <w:r w:rsidRPr="00A413BB">
        <w:rPr>
          <w:rFonts w:ascii="NimbusSanL-Regu" w:hAnsi="NimbusSanL-Regu" w:cs="NimbusSanL-Regu"/>
          <w:strike/>
          <w:sz w:val="17"/>
          <w:szCs w:val="17"/>
        </w:rPr>
        <w:t>kitchen</w:t>
      </w:r>
      <w:r>
        <w:rPr>
          <w:rFonts w:ascii="NimbusSanL-Regu" w:hAnsi="NimbusSanL-Regu" w:cs="NimbusSanL-Regu"/>
          <w:strike/>
          <w:sz w:val="17"/>
          <w:szCs w:val="17"/>
        </w:rPr>
        <w:t xml:space="preserve"> appliance</w:t>
      </w:r>
      <w:r w:rsidRPr="00A413BB">
        <w:rPr>
          <w:rFonts w:ascii="NimbusSanL-Regu" w:hAnsi="NimbusSanL-Regu" w:cs="NimbusSanL-Regu"/>
          <w:strike/>
          <w:sz w:val="17"/>
          <w:szCs w:val="17"/>
        </w:rPr>
        <w:t xml:space="preserve"> lighting</w:t>
      </w:r>
      <w:r>
        <w:rPr>
          <w:rFonts w:ascii="NimbusSanL-Regu" w:hAnsi="NimbusSanL-Regu" w:cs="NimbusSanL-Regu"/>
          <w:strike/>
          <w:sz w:val="17"/>
          <w:szCs w:val="17"/>
        </w:rPr>
        <w:t xml:space="preserve"> </w:t>
      </w:r>
      <w:r w:rsidRPr="00A413BB">
        <w:rPr>
          <w:rFonts w:ascii="NimbusSanL-Regu" w:hAnsi="NimbusSanL-Regu" w:cs="NimbusSanL-Regu"/>
          <w:sz w:val="17"/>
          <w:szCs w:val="17"/>
          <w:u w:val="single"/>
        </w:rPr>
        <w:t>appliance lamps</w:t>
      </w:r>
      <w:r>
        <w:rPr>
          <w:rFonts w:ascii="NimbusSanL-Regu" w:hAnsi="NimbusSanL-Regu" w:cs="NimbusSanL-Regu"/>
          <w:sz w:val="17"/>
          <w:szCs w:val="17"/>
        </w:rPr>
        <w:t>.</w:t>
      </w:r>
    </w:p>
    <w:p w14:paraId="28F53300" w14:textId="6255E5C5" w:rsidR="00A413BB" w:rsidRDefault="00A413BB" w:rsidP="00A413BB">
      <w:pPr>
        <w:spacing w:after="0" w:line="240" w:lineRule="auto"/>
        <w:rPr>
          <w:rFonts w:ascii="NimbusSanL-Regu" w:hAnsi="NimbusSanL-Regu" w:cs="NimbusSanL-Regu"/>
          <w:sz w:val="17"/>
          <w:szCs w:val="17"/>
        </w:rPr>
      </w:pPr>
      <w:r>
        <w:rPr>
          <w:rFonts w:ascii="NimbusSanL-Regu" w:hAnsi="NimbusSanL-Regu" w:cs="NimbusSanL-Regu"/>
          <w:sz w:val="17"/>
          <w:szCs w:val="17"/>
        </w:rPr>
        <w:t>2. antimicrobial lighting used for the sole purpose of disinfecting.</w:t>
      </w:r>
    </w:p>
    <w:p w14:paraId="145CA6A7" w14:textId="616715E2" w:rsidR="00A413BB" w:rsidRDefault="00A413BB" w:rsidP="00A413BB">
      <w:pPr>
        <w:spacing w:after="0" w:line="240" w:lineRule="auto"/>
        <w:rPr>
          <w:rFonts w:ascii="NimbusSanL-Regu" w:hAnsi="NimbusSanL-Regu" w:cs="NimbusSanL-Regu"/>
          <w:sz w:val="17"/>
          <w:szCs w:val="17"/>
          <w:u w:val="single"/>
        </w:rPr>
      </w:pPr>
      <w:r>
        <w:rPr>
          <w:rFonts w:ascii="NimbusSanL-Regu" w:hAnsi="NimbusSanL-Regu" w:cs="NimbusSanL-Regu"/>
          <w:sz w:val="17"/>
          <w:szCs w:val="17"/>
        </w:rPr>
        <w:t xml:space="preserve">3. </w:t>
      </w:r>
      <w:r w:rsidRPr="00A413BB">
        <w:rPr>
          <w:rFonts w:ascii="NimbusSanL-Regu" w:hAnsi="NimbusSanL-Regu" w:cs="NimbusSanL-Regu"/>
          <w:sz w:val="17"/>
          <w:szCs w:val="17"/>
          <w:u w:val="single"/>
        </w:rPr>
        <w:t>general service lamps complying with 10 CFR 430.2.</w:t>
      </w:r>
    </w:p>
    <w:p w14:paraId="4ABF6D9F" w14:textId="2CDD4388" w:rsidR="006A21D0" w:rsidRDefault="006A21D0" w:rsidP="00A413BB">
      <w:pPr>
        <w:spacing w:after="0" w:line="240" w:lineRule="auto"/>
        <w:rPr>
          <w:rFonts w:ascii="NimbusSanL-Regu" w:hAnsi="NimbusSanL-Regu" w:cs="NimbusSanL-Regu"/>
          <w:sz w:val="17"/>
          <w:szCs w:val="17"/>
          <w:u w:val="single"/>
        </w:rPr>
      </w:pPr>
    </w:p>
    <w:p w14:paraId="026AD8EE" w14:textId="77777777" w:rsidR="001405C5" w:rsidRDefault="001405C5" w:rsidP="001405C5">
      <w:pPr>
        <w:rPr>
          <w:rFonts w:ascii="NimbusSanL-Regu" w:hAnsi="NimbusSanL-Regu"/>
          <w:sz w:val="17"/>
          <w:szCs w:val="17"/>
          <w:u w:val="single"/>
        </w:rPr>
      </w:pPr>
    </w:p>
    <w:p w14:paraId="3F7478EB" w14:textId="56271380" w:rsidR="006A21D0" w:rsidRPr="001405C5" w:rsidRDefault="001405C5" w:rsidP="001405C5">
      <w:pPr>
        <w:rPr>
          <w:rFonts w:ascii="Calibri" w:hAnsi="Calibri"/>
        </w:rPr>
      </w:pPr>
      <w:r>
        <w:rPr>
          <w:rFonts w:ascii="NimbusSanL-Regu" w:hAnsi="NimbusSanL-Regu"/>
          <w:b/>
          <w:bCs/>
          <w:sz w:val="17"/>
          <w:szCs w:val="17"/>
        </w:rPr>
        <w:t>Reason</w:t>
      </w:r>
      <w:r>
        <w:rPr>
          <w:rFonts w:ascii="NimbusSanL-Regu" w:hAnsi="NimbusSanL-Regu"/>
          <w:sz w:val="17"/>
          <w:szCs w:val="17"/>
        </w:rPr>
        <w:t>: DOE recently established minimum efficacy requirements for “general service lamps” within 10 CFR 403.2, at 45 lumens/watt. Presumably, an IECC requirement for efficacy that differs from the federal requirement qualifies as a preemption of federal law, which is illegal. If the IECC contains provisions that violate federal law, its adoption can be expected to be challenged. Citing this reason, jurisdictions may opt to skip this version of the code entirely. These proposed modifications are intended to avoid this outcome by aligning this section with federal law. Additionally, exception 1 is modified to except “appliance lamps,” which are exempted from the definition of “general service lamps” (and their associated minimum efficacy requirements) in 10 CFR 430.2, presumably because of challenges with specifying high-efficacy lamps in high-temperature environments, and/or the extensive paybacks associated with their specification.</w:t>
      </w:r>
    </w:p>
    <w:sectPr w:rsidR="006A21D0" w:rsidRPr="00140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SanL-Bold">
    <w:altName w:val="Calibri"/>
    <w:panose1 w:val="00000000000000000000"/>
    <w:charset w:val="00"/>
    <w:family w:val="auto"/>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BB"/>
    <w:rsid w:val="001405C5"/>
    <w:rsid w:val="004329E4"/>
    <w:rsid w:val="004D3C7B"/>
    <w:rsid w:val="006A21D0"/>
    <w:rsid w:val="009D70AC"/>
    <w:rsid w:val="00A413BB"/>
    <w:rsid w:val="00D42ECF"/>
    <w:rsid w:val="00E9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8EDE"/>
  <w15:chartTrackingRefBased/>
  <w15:docId w15:val="{54039D5E-AB99-40B0-9825-05CB74AF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Moore</dc:creator>
  <cp:keywords/>
  <dc:description/>
  <cp:lastModifiedBy>Mike Moore</cp:lastModifiedBy>
  <cp:revision>2</cp:revision>
  <dcterms:created xsi:type="dcterms:W3CDTF">2023-02-06T14:52:00Z</dcterms:created>
  <dcterms:modified xsi:type="dcterms:W3CDTF">2023-02-06T14:52:00Z</dcterms:modified>
</cp:coreProperties>
</file>