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A331" w14:textId="7484348B" w:rsidR="00D608AB" w:rsidRPr="0096164A" w:rsidRDefault="00D608AB" w:rsidP="00D608AB">
      <w:pPr>
        <w:rPr>
          <w:b/>
          <w:bCs/>
          <w:sz w:val="24"/>
          <w:szCs w:val="24"/>
        </w:rPr>
      </w:pPr>
      <w:r w:rsidRPr="00B84E53">
        <w:rPr>
          <w:b/>
          <w:bCs/>
          <w:sz w:val="28"/>
          <w:szCs w:val="28"/>
        </w:rPr>
        <w:t>RED1-224-22 Part I</w:t>
      </w:r>
      <w:r w:rsidR="00D4155F" w:rsidRPr="00B84E53">
        <w:rPr>
          <w:b/>
          <w:bCs/>
          <w:sz w:val="28"/>
          <w:szCs w:val="28"/>
        </w:rPr>
        <w:t>, Mod1</w:t>
      </w:r>
      <w:r w:rsidR="00D8137E" w:rsidRPr="00B84E53">
        <w:rPr>
          <w:b/>
          <w:bCs/>
          <w:color w:val="FF0000"/>
          <w:sz w:val="28"/>
          <w:szCs w:val="28"/>
        </w:rPr>
        <w:t xml:space="preserve"> </w:t>
      </w:r>
      <w:r w:rsidR="00D8137E" w:rsidRPr="0096164A">
        <w:rPr>
          <w:b/>
          <w:bCs/>
          <w:color w:val="FF0000"/>
          <w:sz w:val="24"/>
          <w:szCs w:val="24"/>
        </w:rPr>
        <w:t>(</w:t>
      </w:r>
      <w:r w:rsidR="00C05835" w:rsidRPr="0096164A">
        <w:rPr>
          <w:b/>
          <w:bCs/>
          <w:color w:val="FF0000"/>
          <w:sz w:val="24"/>
          <w:szCs w:val="24"/>
        </w:rPr>
        <w:t xml:space="preserve">RED IS A </w:t>
      </w:r>
      <w:r w:rsidR="00C05835" w:rsidRPr="0096164A">
        <w:rPr>
          <w:b/>
          <w:bCs/>
          <w:color w:val="FF0000"/>
          <w:sz w:val="24"/>
          <w:szCs w:val="24"/>
          <w:u w:val="single"/>
        </w:rPr>
        <w:t>TECHNICAL</w:t>
      </w:r>
      <w:r w:rsidR="00C05835" w:rsidRPr="0096164A">
        <w:rPr>
          <w:b/>
          <w:bCs/>
          <w:color w:val="FF0000"/>
          <w:sz w:val="24"/>
          <w:szCs w:val="24"/>
        </w:rPr>
        <w:t xml:space="preserve"> </w:t>
      </w:r>
      <w:r w:rsidR="00D8137E" w:rsidRPr="0096164A">
        <w:rPr>
          <w:b/>
          <w:bCs/>
          <w:color w:val="FF0000"/>
          <w:sz w:val="24"/>
          <w:szCs w:val="24"/>
        </w:rPr>
        <w:t>MODIFI</w:t>
      </w:r>
      <w:r w:rsidR="00C05835" w:rsidRPr="0096164A">
        <w:rPr>
          <w:b/>
          <w:bCs/>
          <w:color w:val="FF0000"/>
          <w:sz w:val="24"/>
          <w:szCs w:val="24"/>
        </w:rPr>
        <w:t>CATION TO</w:t>
      </w:r>
      <w:r w:rsidR="00B84E53" w:rsidRPr="0096164A">
        <w:rPr>
          <w:b/>
          <w:bCs/>
          <w:color w:val="FF0000"/>
          <w:sz w:val="24"/>
          <w:szCs w:val="24"/>
        </w:rPr>
        <w:t xml:space="preserve"> 224</w:t>
      </w:r>
      <w:r w:rsidR="00C05835" w:rsidRPr="0096164A">
        <w:rPr>
          <w:b/>
          <w:bCs/>
          <w:color w:val="FF0000"/>
          <w:sz w:val="24"/>
          <w:szCs w:val="24"/>
        </w:rPr>
        <w:t xml:space="preserve"> CONSIDER)</w:t>
      </w:r>
    </w:p>
    <w:p w14:paraId="4AB781E4" w14:textId="2EF494CA" w:rsidR="00D608AB" w:rsidRPr="00C05835" w:rsidRDefault="00D608AB" w:rsidP="00D608AB">
      <w:pPr>
        <w:rPr>
          <w:b/>
          <w:bCs/>
        </w:rPr>
      </w:pPr>
      <w:r w:rsidRPr="00C05835">
        <w:rPr>
          <w:b/>
          <w:bCs/>
        </w:rPr>
        <w:t>IECC: R402.5.1.3</w:t>
      </w:r>
    </w:p>
    <w:p w14:paraId="59242ECB" w14:textId="77777777" w:rsidR="00D608AB" w:rsidRPr="00C05835" w:rsidRDefault="00D608AB" w:rsidP="00D608AB">
      <w:pPr>
        <w:rPr>
          <w:b/>
          <w:bCs/>
        </w:rPr>
      </w:pPr>
      <w:r w:rsidRPr="00C05835">
        <w:rPr>
          <w:b/>
          <w:bCs/>
        </w:rPr>
        <w:t>2024 International Energy Conservation Code [RE Project]</w:t>
      </w:r>
    </w:p>
    <w:p w14:paraId="5C23FB49" w14:textId="77777777" w:rsidR="00D608AB" w:rsidRPr="00C05835" w:rsidRDefault="00D608AB" w:rsidP="00D608AB">
      <w:pPr>
        <w:rPr>
          <w:b/>
          <w:bCs/>
          <w:sz w:val="28"/>
          <w:szCs w:val="28"/>
        </w:rPr>
      </w:pPr>
      <w:r w:rsidRPr="00C05835">
        <w:rPr>
          <w:b/>
          <w:bCs/>
          <w:sz w:val="28"/>
          <w:szCs w:val="28"/>
        </w:rPr>
        <w:t>Revise as follows:</w:t>
      </w:r>
    </w:p>
    <w:p w14:paraId="5FF3036F" w14:textId="1CAC23AE" w:rsidR="0087381E" w:rsidRPr="00C05835" w:rsidRDefault="0087381E" w:rsidP="0087381E">
      <w:pPr>
        <w:spacing w:before="36" w:after="36" w:line="240" w:lineRule="auto"/>
        <w:rPr>
          <w:rFonts w:eastAsia="Cambria" w:cstheme="minorHAnsi"/>
          <w:b/>
          <w:bCs/>
          <w:u w:val="single"/>
        </w:rPr>
      </w:pPr>
      <w:bookmarkStart w:id="0" w:name="_Hlk129283926"/>
      <w:r w:rsidRPr="00C05835">
        <w:rPr>
          <w:rFonts w:eastAsia="Cambria" w:cstheme="minorHAnsi"/>
          <w:b/>
          <w:bCs/>
          <w:u w:val="single"/>
        </w:rPr>
        <w:t xml:space="preserve">R402.5.1.3 Maximum air leakage rate. </w:t>
      </w:r>
      <w:r w:rsidRPr="00C05835">
        <w:rPr>
          <w:rFonts w:eastAsia="Cambria" w:cstheme="minorHAnsi"/>
          <w:u w:val="single"/>
        </w:rPr>
        <w:t xml:space="preserve">Where tested in accordance with Section R402.5.1.2, the air leakage rate for </w:t>
      </w:r>
      <w:r w:rsidRPr="00C05835">
        <w:rPr>
          <w:rFonts w:eastAsia="Cambria" w:cstheme="minorHAnsi"/>
          <w:i/>
          <w:u w:val="single"/>
        </w:rPr>
        <w:t>buildings</w:t>
      </w:r>
      <w:r w:rsidRPr="00C05835">
        <w:rPr>
          <w:rFonts w:eastAsia="Cambria" w:cstheme="minorHAnsi"/>
          <w:u w:val="single"/>
        </w:rPr>
        <w:t xml:space="preserve"> or </w:t>
      </w:r>
      <w:r w:rsidRPr="00C05835">
        <w:rPr>
          <w:rFonts w:eastAsia="Cambria" w:cstheme="minorHAnsi"/>
          <w:i/>
          <w:u w:val="single"/>
        </w:rPr>
        <w:t>dwelling units</w:t>
      </w:r>
      <w:r w:rsidRPr="00C05835">
        <w:rPr>
          <w:rFonts w:eastAsia="Cambria" w:cstheme="minorHAnsi"/>
          <w:u w:val="single"/>
        </w:rPr>
        <w:t xml:space="preserve"> shall be as follows:</w:t>
      </w:r>
    </w:p>
    <w:p w14:paraId="08D7B196" w14:textId="77777777" w:rsidR="0087381E" w:rsidRPr="00C05835" w:rsidRDefault="0087381E" w:rsidP="0087381E">
      <w:pPr>
        <w:spacing w:before="36" w:after="36" w:line="240" w:lineRule="auto"/>
        <w:rPr>
          <w:rFonts w:eastAsia="Cambria" w:cstheme="minorHAnsi"/>
          <w:b/>
          <w:bCs/>
          <w:u w:val="single"/>
        </w:rPr>
      </w:pPr>
    </w:p>
    <w:p w14:paraId="55C48F6C" w14:textId="76DEE3C3" w:rsidR="0087381E" w:rsidRPr="00C05835" w:rsidRDefault="0087381E" w:rsidP="0087381E">
      <w:pPr>
        <w:numPr>
          <w:ilvl w:val="0"/>
          <w:numId w:val="1"/>
        </w:numPr>
        <w:spacing w:before="36" w:after="36" w:line="240" w:lineRule="auto"/>
        <w:rPr>
          <w:rFonts w:eastAsia="Cambria" w:cstheme="minorHAnsi"/>
          <w:b/>
          <w:bCs/>
          <w:u w:val="single"/>
        </w:rPr>
      </w:pPr>
      <w:r w:rsidRPr="00C05835">
        <w:rPr>
          <w:rFonts w:eastAsia="Cambria" w:cstheme="minorHAnsi"/>
          <w:u w:val="single"/>
        </w:rPr>
        <w:t xml:space="preserve">Where complying with Section R401.2.1, the building or </w:t>
      </w:r>
      <w:r w:rsidRPr="00C05835">
        <w:rPr>
          <w:rFonts w:eastAsia="Cambria" w:cstheme="minorHAnsi"/>
          <w:i/>
          <w:iCs/>
          <w:u w:val="single"/>
        </w:rPr>
        <w:t>dwelling unit</w:t>
      </w:r>
      <w:r w:rsidR="00B75E40" w:rsidRPr="00C05835">
        <w:rPr>
          <w:rFonts w:eastAsia="Cambria" w:cstheme="minorHAnsi"/>
          <w:i/>
          <w:iCs/>
          <w:u w:val="single"/>
        </w:rPr>
        <w:t>s</w:t>
      </w:r>
      <w:r w:rsidRPr="00C05835">
        <w:rPr>
          <w:rFonts w:eastAsia="Cambria" w:cstheme="minorHAnsi"/>
          <w:u w:val="single"/>
        </w:rPr>
        <w:t xml:space="preserve"> in the building shall have an air leakage rate not greater than 4.0 air changes per hour in Climate Zones 0, 1 and 2, 3.0 air changes per hour in Climate Zones 3 through 5, and 2.5 air changes per hour in Climate Zones 6 through 8.</w:t>
      </w:r>
    </w:p>
    <w:p w14:paraId="3078B166" w14:textId="25D50EC0" w:rsidR="00533DCD" w:rsidRPr="00C05835" w:rsidRDefault="0087381E" w:rsidP="00533DCD">
      <w:pPr>
        <w:numPr>
          <w:ilvl w:val="0"/>
          <w:numId w:val="1"/>
        </w:numPr>
        <w:spacing w:before="36" w:after="36" w:line="240" w:lineRule="auto"/>
        <w:rPr>
          <w:rFonts w:eastAsia="Cambria" w:cstheme="minorHAnsi"/>
          <w:b/>
          <w:bCs/>
          <w:u w:val="single"/>
        </w:rPr>
      </w:pPr>
      <w:r w:rsidRPr="00C05835">
        <w:rPr>
          <w:rFonts w:eastAsia="Cambria" w:cstheme="minorHAnsi"/>
          <w:u w:val="single"/>
        </w:rPr>
        <w:t xml:space="preserve">Where complying with Section R401.2.2 or R401.2.3, </w:t>
      </w:r>
      <w:r w:rsidR="00B75E40" w:rsidRPr="00C05835">
        <w:rPr>
          <w:rFonts w:eastAsia="Cambria" w:cstheme="minorHAnsi"/>
          <w:u w:val="single"/>
        </w:rPr>
        <w:t xml:space="preserve">the building or </w:t>
      </w:r>
      <w:r w:rsidR="00B75E40" w:rsidRPr="00C05835">
        <w:rPr>
          <w:rFonts w:eastAsia="Cambria" w:cstheme="minorHAnsi"/>
          <w:i/>
          <w:iCs/>
          <w:u w:val="single"/>
        </w:rPr>
        <w:t>dwelling units</w:t>
      </w:r>
      <w:r w:rsidR="00B75E40" w:rsidRPr="00C05835">
        <w:rPr>
          <w:rFonts w:eastAsia="Cambria" w:cstheme="minorHAnsi"/>
          <w:u w:val="single"/>
        </w:rPr>
        <w:t xml:space="preserve"> in the building shall have an air leakage rate not greater </w:t>
      </w:r>
      <w:r w:rsidRPr="00C05835">
        <w:rPr>
          <w:rFonts w:eastAsia="Cambria" w:cstheme="minorHAnsi"/>
          <w:u w:val="single"/>
        </w:rPr>
        <w:t>than 4.0 air changes per hour</w:t>
      </w:r>
      <w:r w:rsidR="00B75E40" w:rsidRPr="00C05835">
        <w:rPr>
          <w:rFonts w:eastAsia="Cambria" w:cstheme="minorHAnsi"/>
          <w:u w:val="single"/>
        </w:rPr>
        <w:t>,</w:t>
      </w:r>
      <w:r w:rsidRPr="00C05835">
        <w:rPr>
          <w:rFonts w:eastAsia="Cambria" w:cstheme="minorHAnsi"/>
          <w:u w:val="single"/>
        </w:rPr>
        <w:t xml:space="preserve"> or </w:t>
      </w:r>
      <w:r w:rsidR="00BF7631" w:rsidRPr="00BF7631">
        <w:rPr>
          <w:rFonts w:eastAsia="Cambria" w:cstheme="minorHAnsi"/>
          <w:strike/>
          <w:color w:val="FF0000"/>
          <w:u w:val="single"/>
        </w:rPr>
        <w:t>0.2</w:t>
      </w:r>
      <w:r w:rsidR="00C65AF1">
        <w:rPr>
          <w:rFonts w:eastAsia="Cambria" w:cstheme="minorHAnsi"/>
          <w:strike/>
          <w:color w:val="FF0000"/>
          <w:u w:val="single"/>
        </w:rPr>
        <w:t>2</w:t>
      </w:r>
      <w:r w:rsidR="00BF7631" w:rsidRPr="00C65AF1">
        <w:rPr>
          <w:rFonts w:eastAsia="Cambria" w:cstheme="minorHAnsi"/>
          <w:color w:val="FF0000"/>
          <w:u w:val="single"/>
        </w:rPr>
        <w:t xml:space="preserve"> </w:t>
      </w:r>
      <w:r w:rsidRPr="00C65AF1">
        <w:rPr>
          <w:rFonts w:eastAsia="Cambria" w:cstheme="minorHAnsi"/>
          <w:color w:val="FF0000"/>
          <w:u w:val="single"/>
        </w:rPr>
        <w:t>0.2</w:t>
      </w:r>
      <w:r w:rsidR="00C65AF1" w:rsidRPr="00C65AF1">
        <w:rPr>
          <w:rFonts w:eastAsia="Cambria" w:cstheme="minorHAnsi"/>
          <w:color w:val="FF0000"/>
          <w:u w:val="single"/>
        </w:rPr>
        <w:t>0</w:t>
      </w:r>
      <w:r w:rsidRPr="00C05835">
        <w:rPr>
          <w:rFonts w:eastAsia="Cambria" w:cstheme="minorHAnsi"/>
          <w:u w:val="single"/>
        </w:rPr>
        <w:t xml:space="preserve"> cfm/ft</w:t>
      </w:r>
      <w:r w:rsidRPr="00C05835">
        <w:rPr>
          <w:rFonts w:eastAsia="Cambria" w:cstheme="minorHAnsi"/>
          <w:u w:val="single"/>
          <w:vertAlign w:val="superscript"/>
        </w:rPr>
        <w:t>2</w:t>
      </w:r>
      <w:r w:rsidRPr="00C05835">
        <w:rPr>
          <w:rFonts w:eastAsia="Cambria" w:cstheme="minorHAnsi"/>
          <w:u w:val="single"/>
        </w:rPr>
        <w:t xml:space="preserve"> (1.1 L/s x m</w:t>
      </w:r>
      <w:r w:rsidRPr="00C05835">
        <w:rPr>
          <w:rFonts w:eastAsia="Cambria" w:cstheme="minorHAnsi"/>
          <w:u w:val="single"/>
          <w:vertAlign w:val="superscript"/>
        </w:rPr>
        <w:t>2</w:t>
      </w:r>
      <w:r w:rsidRPr="00C05835">
        <w:rPr>
          <w:rFonts w:eastAsia="Cambria" w:cstheme="minorHAnsi"/>
          <w:u w:val="single"/>
        </w:rPr>
        <w:t xml:space="preserve">) of the </w:t>
      </w:r>
      <w:r w:rsidRPr="00C05835">
        <w:rPr>
          <w:rFonts w:eastAsia="Cambria" w:cstheme="minorHAnsi"/>
          <w:i/>
          <w:iCs/>
          <w:u w:val="single"/>
        </w:rPr>
        <w:t>building thermal envelope</w:t>
      </w:r>
      <w:r w:rsidRPr="00C05835">
        <w:rPr>
          <w:rFonts w:eastAsia="Cambria" w:cstheme="minorHAnsi"/>
          <w:u w:val="single"/>
        </w:rPr>
        <w:t xml:space="preserve"> area</w:t>
      </w:r>
      <w:r w:rsidR="00B75E40" w:rsidRPr="00C05835">
        <w:rPr>
          <w:rFonts w:eastAsia="Cambria" w:cstheme="minorHAnsi"/>
          <w:u w:val="single"/>
        </w:rPr>
        <w:t xml:space="preserve"> or</w:t>
      </w:r>
      <w:r w:rsidR="00B75E40" w:rsidRPr="00C05835">
        <w:rPr>
          <w:rFonts w:eastAsia="Cambria" w:cstheme="minorHAnsi"/>
          <w:i/>
          <w:iCs/>
          <w:u w:val="single"/>
        </w:rPr>
        <w:t xml:space="preserve"> dwelling unit enclosure area</w:t>
      </w:r>
      <w:r w:rsidR="00B75E40" w:rsidRPr="00C05835">
        <w:rPr>
          <w:rFonts w:eastAsia="Cambria" w:cstheme="minorHAnsi"/>
          <w:u w:val="single"/>
        </w:rPr>
        <w:t>, as applicable</w:t>
      </w:r>
      <w:r w:rsidRPr="00C05835">
        <w:rPr>
          <w:rFonts w:eastAsia="Cambria" w:cstheme="minorHAnsi"/>
          <w:u w:val="single"/>
        </w:rPr>
        <w:t xml:space="preserve">. </w:t>
      </w:r>
    </w:p>
    <w:p w14:paraId="6C45BDAD" w14:textId="77777777" w:rsidR="000C082F" w:rsidRPr="00C05835" w:rsidRDefault="000C082F" w:rsidP="000C082F">
      <w:pPr>
        <w:spacing w:before="36" w:after="36" w:line="240" w:lineRule="auto"/>
        <w:rPr>
          <w:rFonts w:eastAsia="Cambria" w:cstheme="minorHAnsi"/>
          <w:b/>
          <w:bCs/>
          <w:u w:val="single"/>
        </w:rPr>
      </w:pPr>
    </w:p>
    <w:p w14:paraId="4B627450" w14:textId="27225C90" w:rsidR="00533DCD" w:rsidRPr="00C05835" w:rsidRDefault="00533DCD" w:rsidP="00491484">
      <w:pPr>
        <w:spacing w:before="36" w:after="36" w:line="240" w:lineRule="auto"/>
        <w:ind w:firstLine="360"/>
        <w:rPr>
          <w:rFonts w:eastAsia="Cambria" w:cstheme="minorHAnsi"/>
          <w:b/>
          <w:bCs/>
          <w:u w:val="single"/>
        </w:rPr>
      </w:pPr>
      <w:r w:rsidRPr="00C05835">
        <w:rPr>
          <w:rFonts w:eastAsia="Cambria" w:cstheme="minorHAnsi"/>
          <w:b/>
          <w:bCs/>
          <w:u w:val="single"/>
        </w:rPr>
        <w:t>Exception</w:t>
      </w:r>
      <w:r w:rsidR="000C082F" w:rsidRPr="00C05835">
        <w:rPr>
          <w:rFonts w:eastAsia="Cambria" w:cstheme="minorHAnsi"/>
          <w:b/>
          <w:bCs/>
          <w:u w:val="single"/>
        </w:rPr>
        <w:t>s</w:t>
      </w:r>
      <w:r w:rsidRPr="00C05835">
        <w:rPr>
          <w:rFonts w:eastAsia="Cambria" w:cstheme="minorHAnsi"/>
          <w:b/>
          <w:bCs/>
          <w:u w:val="single"/>
        </w:rPr>
        <w:t>:</w:t>
      </w:r>
    </w:p>
    <w:p w14:paraId="1C56A2D4" w14:textId="261A3158" w:rsidR="000C082F" w:rsidRPr="00C05835" w:rsidRDefault="000C082F" w:rsidP="000C082F">
      <w:pPr>
        <w:pStyle w:val="ListParagraph"/>
        <w:numPr>
          <w:ilvl w:val="0"/>
          <w:numId w:val="8"/>
        </w:numPr>
        <w:spacing w:before="36" w:after="36" w:line="240" w:lineRule="auto"/>
        <w:rPr>
          <w:rFonts w:eastAsia="Cambria" w:cstheme="minorHAnsi"/>
          <w:u w:val="single"/>
        </w:rPr>
      </w:pPr>
      <w:r w:rsidRPr="00C05835">
        <w:rPr>
          <w:rFonts w:eastAsia="Cambria" w:cstheme="minorHAnsi"/>
          <w:u w:val="single"/>
        </w:rPr>
        <w:t xml:space="preserve">Where dwelling units are attached or located in an R-2 occupancy, the air leakage rate </w:t>
      </w:r>
      <w:r w:rsidR="004529D0">
        <w:rPr>
          <w:rFonts w:eastAsia="Cambria" w:cstheme="minorHAnsi"/>
          <w:u w:val="single"/>
        </w:rPr>
        <w:t xml:space="preserve">is permitted to </w:t>
      </w:r>
      <w:r w:rsidR="008527CF" w:rsidRPr="00C05835">
        <w:rPr>
          <w:rFonts w:eastAsia="Cambria" w:cstheme="minorHAnsi"/>
          <w:u w:val="single"/>
        </w:rPr>
        <w:t>be</w:t>
      </w:r>
      <w:r w:rsidR="004529D0">
        <w:rPr>
          <w:rFonts w:eastAsia="Cambria" w:cstheme="minorHAnsi"/>
          <w:u w:val="single"/>
        </w:rPr>
        <w:t xml:space="preserve"> not</w:t>
      </w:r>
      <w:r w:rsidR="008527CF" w:rsidRPr="00C05835">
        <w:rPr>
          <w:rFonts w:eastAsia="Cambria" w:cstheme="minorHAnsi"/>
          <w:u w:val="single"/>
        </w:rPr>
        <w:t xml:space="preserve"> greater than</w:t>
      </w:r>
      <w:r w:rsidRPr="00C05835">
        <w:rPr>
          <w:rFonts w:eastAsia="Cambria" w:cstheme="minorHAnsi"/>
          <w:u w:val="single"/>
        </w:rPr>
        <w:t xml:space="preserve"> 0.27 cfm/ft</w:t>
      </w:r>
      <w:r w:rsidRPr="00C05835">
        <w:rPr>
          <w:rFonts w:eastAsia="Cambria" w:cstheme="minorHAnsi"/>
          <w:u w:val="single"/>
          <w:vertAlign w:val="superscript"/>
        </w:rPr>
        <w:t>2</w:t>
      </w:r>
      <w:r w:rsidRPr="00C05835">
        <w:rPr>
          <w:rFonts w:eastAsia="Cambria" w:cstheme="minorHAnsi"/>
          <w:u w:val="single"/>
        </w:rPr>
        <w:t xml:space="preserve"> (1.35 L/s x m</w:t>
      </w:r>
      <w:r w:rsidRPr="00C05835">
        <w:rPr>
          <w:rFonts w:eastAsia="Cambria" w:cstheme="minorHAnsi"/>
          <w:u w:val="single"/>
          <w:vertAlign w:val="superscript"/>
        </w:rPr>
        <w:t>2</w:t>
      </w:r>
      <w:r w:rsidRPr="00C05835">
        <w:rPr>
          <w:rFonts w:eastAsia="Cambria" w:cstheme="minorHAnsi"/>
          <w:u w:val="single"/>
        </w:rPr>
        <w:t xml:space="preserve">) of the </w:t>
      </w:r>
      <w:r w:rsidRPr="00C05835">
        <w:rPr>
          <w:rFonts w:eastAsia="Cambria" w:cstheme="minorHAnsi"/>
          <w:i/>
          <w:iCs/>
          <w:u w:val="single"/>
        </w:rPr>
        <w:t>dwelling unit enclosure area.</w:t>
      </w:r>
    </w:p>
    <w:p w14:paraId="1B1502B2" w14:textId="33C5BB13" w:rsidR="00533DCD" w:rsidRPr="00BF7631" w:rsidRDefault="004529D0" w:rsidP="00491484">
      <w:pPr>
        <w:pStyle w:val="ListParagraph"/>
        <w:numPr>
          <w:ilvl w:val="0"/>
          <w:numId w:val="8"/>
        </w:numPr>
        <w:spacing w:before="36" w:after="36" w:line="240" w:lineRule="auto"/>
        <w:rPr>
          <w:rFonts w:eastAsia="Cambria" w:cstheme="minorHAnsi"/>
          <w:strike/>
          <w:color w:val="FF0000"/>
          <w:u w:val="single"/>
        </w:rPr>
      </w:pPr>
      <w:commentRangeStart w:id="1"/>
      <w:r>
        <w:rPr>
          <w:rFonts w:eastAsia="Cambria" w:cstheme="minorHAnsi"/>
          <w:strike/>
          <w:color w:val="FF0000"/>
          <w:u w:val="single"/>
        </w:rPr>
        <w:t>Where</w:t>
      </w:r>
      <w:r w:rsidR="00533DCD" w:rsidRPr="00BF7631">
        <w:rPr>
          <w:rFonts w:eastAsia="Cambria" w:cstheme="minorHAnsi"/>
          <w:strike/>
          <w:color w:val="FF0000"/>
          <w:u w:val="single"/>
        </w:rPr>
        <w:t xml:space="preserve"> buildings</w:t>
      </w:r>
      <w:r>
        <w:rPr>
          <w:rFonts w:eastAsia="Cambria" w:cstheme="minorHAnsi"/>
          <w:strike/>
          <w:color w:val="FF0000"/>
          <w:u w:val="single"/>
        </w:rPr>
        <w:t xml:space="preserve"> have</w:t>
      </w:r>
      <w:r w:rsidR="00533DCD" w:rsidRPr="00BF7631">
        <w:rPr>
          <w:rFonts w:eastAsia="Cambria" w:cstheme="minorHAnsi"/>
          <w:strike/>
          <w:color w:val="FF0000"/>
          <w:u w:val="single"/>
        </w:rPr>
        <w:t xml:space="preserve"> 1,500 square feet (139.4 m</w:t>
      </w:r>
      <w:r w:rsidR="00533DCD" w:rsidRPr="00BF7631">
        <w:rPr>
          <w:rFonts w:eastAsia="Cambria" w:cstheme="minorHAnsi"/>
          <w:strike/>
          <w:color w:val="FF0000"/>
          <w:u w:val="single"/>
          <w:vertAlign w:val="superscript"/>
        </w:rPr>
        <w:t>2</w:t>
      </w:r>
      <w:r w:rsidR="00533DCD" w:rsidRPr="00BF7631">
        <w:rPr>
          <w:rFonts w:eastAsia="Cambria" w:cstheme="minorHAnsi"/>
          <w:strike/>
          <w:color w:val="FF0000"/>
          <w:u w:val="single"/>
        </w:rPr>
        <w:t>) or less</w:t>
      </w:r>
      <w:r>
        <w:rPr>
          <w:rFonts w:eastAsia="Cambria" w:cstheme="minorHAnsi"/>
          <w:strike/>
          <w:color w:val="FF0000"/>
          <w:u w:val="single"/>
        </w:rPr>
        <w:t xml:space="preserve"> of </w:t>
      </w:r>
      <w:r w:rsidRPr="004529D0">
        <w:rPr>
          <w:rFonts w:eastAsia="Cambria" w:cstheme="minorHAnsi"/>
          <w:i/>
          <w:iCs/>
          <w:strike/>
          <w:color w:val="FF0000"/>
          <w:u w:val="single"/>
        </w:rPr>
        <w:t>conditioned floor area</w:t>
      </w:r>
      <w:r w:rsidR="00533DCD" w:rsidRPr="00BF7631">
        <w:rPr>
          <w:rFonts w:eastAsia="Cambria" w:cstheme="minorHAnsi"/>
          <w:strike/>
          <w:color w:val="FF0000"/>
          <w:u w:val="single"/>
        </w:rPr>
        <w:t>, the air leakage rate</w:t>
      </w:r>
      <w:r>
        <w:rPr>
          <w:rFonts w:eastAsia="Cambria" w:cstheme="minorHAnsi"/>
          <w:strike/>
          <w:color w:val="FF0000"/>
          <w:u w:val="single"/>
        </w:rPr>
        <w:t xml:space="preserve"> is permitted to be </w:t>
      </w:r>
      <w:r w:rsidR="009C53F2" w:rsidRPr="00BF7631">
        <w:rPr>
          <w:rFonts w:eastAsia="Cambria" w:cstheme="minorHAnsi"/>
          <w:strike/>
          <w:color w:val="FF0000"/>
          <w:u w:val="single"/>
        </w:rPr>
        <w:t xml:space="preserve">not greater than </w:t>
      </w:r>
      <w:r w:rsidR="00533DCD" w:rsidRPr="00BF7631">
        <w:rPr>
          <w:rFonts w:eastAsia="Cambria" w:cstheme="minorHAnsi"/>
          <w:strike/>
          <w:color w:val="FF0000"/>
          <w:u w:val="single"/>
        </w:rPr>
        <w:t>0.27 cfm/ft</w:t>
      </w:r>
      <w:r w:rsidR="00533DCD" w:rsidRPr="00BF7631">
        <w:rPr>
          <w:rFonts w:eastAsia="Cambria" w:cstheme="minorHAnsi"/>
          <w:strike/>
          <w:color w:val="FF0000"/>
          <w:u w:val="single"/>
          <w:vertAlign w:val="superscript"/>
        </w:rPr>
        <w:t xml:space="preserve">2 </w:t>
      </w:r>
      <w:r w:rsidR="00533DCD" w:rsidRPr="00BF7631">
        <w:rPr>
          <w:rFonts w:eastAsia="Cambria" w:cstheme="minorHAnsi"/>
          <w:strike/>
          <w:color w:val="FF0000"/>
          <w:u w:val="single"/>
        </w:rPr>
        <w:t>(1.35 L/s x m</w:t>
      </w:r>
      <w:r w:rsidR="00533DCD" w:rsidRPr="00BF7631">
        <w:rPr>
          <w:rFonts w:eastAsia="Cambria" w:cstheme="minorHAnsi"/>
          <w:strike/>
          <w:color w:val="FF0000"/>
          <w:u w:val="single"/>
          <w:vertAlign w:val="superscript"/>
        </w:rPr>
        <w:t>2</w:t>
      </w:r>
      <w:r w:rsidR="00533DCD" w:rsidRPr="00BF7631">
        <w:rPr>
          <w:rFonts w:eastAsia="Cambria" w:cstheme="minorHAnsi"/>
          <w:strike/>
          <w:color w:val="FF0000"/>
          <w:u w:val="single"/>
        </w:rPr>
        <w:t>).</w:t>
      </w:r>
      <w:commentRangeEnd w:id="1"/>
      <w:r w:rsidR="00BF7631">
        <w:rPr>
          <w:rStyle w:val="CommentReference"/>
          <w:rFonts w:ascii="Helvetica Neue" w:hAnsi="Helvetica Neue"/>
        </w:rPr>
        <w:commentReference w:id="1"/>
      </w:r>
    </w:p>
    <w:p w14:paraId="21217E96" w14:textId="77777777" w:rsidR="00533DCD" w:rsidRPr="00C05835" w:rsidRDefault="00533DCD" w:rsidP="00533DCD">
      <w:pPr>
        <w:spacing w:before="36" w:after="36" w:line="240" w:lineRule="auto"/>
        <w:rPr>
          <w:rFonts w:eastAsia="Cambria" w:cstheme="minorHAnsi"/>
          <w:b/>
          <w:bCs/>
          <w:u w:val="single"/>
        </w:rPr>
      </w:pPr>
    </w:p>
    <w:bookmarkEnd w:id="0"/>
    <w:p w14:paraId="51321B3E" w14:textId="1CB75961" w:rsidR="0087381E" w:rsidRPr="00C05835" w:rsidRDefault="0087381E" w:rsidP="00D608AB">
      <w:pPr>
        <w:rPr>
          <w:rFonts w:cstheme="minorHAnsi"/>
        </w:rPr>
      </w:pPr>
    </w:p>
    <w:p w14:paraId="40EC8EB8" w14:textId="4E2BF053" w:rsidR="00281F6B" w:rsidRPr="00C05835" w:rsidRDefault="00281F6B">
      <w:r w:rsidRPr="00C05835">
        <w:br w:type="page"/>
      </w:r>
    </w:p>
    <w:p w14:paraId="4625A5B9" w14:textId="11D466B5" w:rsidR="006F5B74" w:rsidRPr="00B84E53" w:rsidRDefault="006F5B74" w:rsidP="006F5B74">
      <w:pPr>
        <w:rPr>
          <w:b/>
          <w:bCs/>
          <w:sz w:val="28"/>
          <w:szCs w:val="28"/>
        </w:rPr>
      </w:pPr>
      <w:r w:rsidRPr="00B84E53">
        <w:rPr>
          <w:b/>
          <w:bCs/>
          <w:sz w:val="28"/>
          <w:szCs w:val="28"/>
        </w:rPr>
        <w:lastRenderedPageBreak/>
        <w:t>RED1-224-22 Part II</w:t>
      </w:r>
      <w:r w:rsidR="00D4155F" w:rsidRPr="00B84E53">
        <w:rPr>
          <w:b/>
          <w:bCs/>
          <w:sz w:val="28"/>
          <w:szCs w:val="28"/>
        </w:rPr>
        <w:t>, Mod1</w:t>
      </w:r>
      <w:r w:rsidR="00B84E53" w:rsidRPr="00B84E53">
        <w:rPr>
          <w:b/>
          <w:bCs/>
          <w:sz w:val="28"/>
          <w:szCs w:val="28"/>
        </w:rPr>
        <w:t xml:space="preserve"> </w:t>
      </w:r>
      <w:r w:rsidR="00B84E53" w:rsidRPr="00B84E53">
        <w:rPr>
          <w:b/>
          <w:bCs/>
          <w:color w:val="FF0000"/>
          <w:sz w:val="24"/>
          <w:szCs w:val="24"/>
        </w:rPr>
        <w:t xml:space="preserve">(RED IS A </w:t>
      </w:r>
      <w:r w:rsidR="00B84E53" w:rsidRPr="00B84E53">
        <w:rPr>
          <w:b/>
          <w:bCs/>
          <w:color w:val="FF0000"/>
          <w:sz w:val="24"/>
          <w:szCs w:val="24"/>
          <w:u w:val="single"/>
        </w:rPr>
        <w:t>TECHNICAL</w:t>
      </w:r>
      <w:r w:rsidR="00B84E53" w:rsidRPr="00B84E53">
        <w:rPr>
          <w:b/>
          <w:bCs/>
          <w:color w:val="FF0000"/>
          <w:sz w:val="24"/>
          <w:szCs w:val="24"/>
        </w:rPr>
        <w:t xml:space="preserve"> MODIFICATION TO 224 CONSIDER)</w:t>
      </w:r>
    </w:p>
    <w:p w14:paraId="2D539162" w14:textId="0892159E" w:rsidR="006F5B74" w:rsidRPr="00C05835" w:rsidRDefault="006F5B74" w:rsidP="006F5B74">
      <w:pPr>
        <w:rPr>
          <w:b/>
          <w:bCs/>
          <w:sz w:val="24"/>
          <w:szCs w:val="24"/>
        </w:rPr>
      </w:pPr>
      <w:r w:rsidRPr="00C05835">
        <w:rPr>
          <w:b/>
          <w:bCs/>
          <w:sz w:val="24"/>
          <w:szCs w:val="24"/>
        </w:rPr>
        <w:t>IRCECC: N1102.5.1.3</w:t>
      </w:r>
    </w:p>
    <w:p w14:paraId="02CDB6D6" w14:textId="77777777" w:rsidR="006F5B74" w:rsidRPr="00C05835" w:rsidRDefault="006F5B74" w:rsidP="006F5B74">
      <w:pPr>
        <w:rPr>
          <w:b/>
          <w:bCs/>
          <w:sz w:val="24"/>
          <w:szCs w:val="24"/>
        </w:rPr>
      </w:pPr>
      <w:r w:rsidRPr="00C05835">
        <w:rPr>
          <w:b/>
          <w:bCs/>
          <w:sz w:val="24"/>
          <w:szCs w:val="24"/>
        </w:rPr>
        <w:t>2024 ENERGY Chapter11</w:t>
      </w:r>
    </w:p>
    <w:p w14:paraId="28EBF401" w14:textId="77777777" w:rsidR="006F5B74" w:rsidRPr="00C05835" w:rsidRDefault="006F5B74" w:rsidP="006F5B74">
      <w:pPr>
        <w:rPr>
          <w:b/>
          <w:bCs/>
          <w:sz w:val="28"/>
          <w:szCs w:val="28"/>
        </w:rPr>
      </w:pPr>
      <w:r w:rsidRPr="00C05835">
        <w:rPr>
          <w:b/>
          <w:bCs/>
          <w:sz w:val="28"/>
          <w:szCs w:val="28"/>
        </w:rPr>
        <w:t>Revise as follows:</w:t>
      </w:r>
    </w:p>
    <w:p w14:paraId="0C68C599" w14:textId="59B38653" w:rsidR="00254FE3" w:rsidRPr="00C05835" w:rsidRDefault="00254FE3" w:rsidP="00254FE3">
      <w:pPr>
        <w:spacing w:before="36" w:after="36" w:line="240" w:lineRule="auto"/>
        <w:rPr>
          <w:rFonts w:eastAsia="Cambria" w:cstheme="minorHAnsi"/>
          <w:b/>
          <w:bCs/>
          <w:u w:val="single"/>
        </w:rPr>
      </w:pPr>
      <w:r w:rsidRPr="00C05835">
        <w:rPr>
          <w:rFonts w:eastAsia="Cambria" w:cstheme="minorHAnsi"/>
          <w:b/>
          <w:bCs/>
          <w:u w:val="single"/>
        </w:rPr>
        <w:t xml:space="preserve">N1102.5.1.3 Maximum air leakage rate. </w:t>
      </w:r>
      <w:r w:rsidRPr="00C05835">
        <w:rPr>
          <w:rFonts w:eastAsia="Cambria" w:cstheme="minorHAnsi"/>
          <w:u w:val="single"/>
        </w:rPr>
        <w:t xml:space="preserve">Where tested in accordance with Section N1102.5.1.2, the air leakage rate for </w:t>
      </w:r>
      <w:r w:rsidRPr="00C05835">
        <w:rPr>
          <w:rFonts w:eastAsia="Cambria" w:cstheme="minorHAnsi"/>
          <w:i/>
          <w:u w:val="single"/>
        </w:rPr>
        <w:t>buildings</w:t>
      </w:r>
      <w:r w:rsidRPr="00C05835">
        <w:rPr>
          <w:rFonts w:eastAsia="Cambria" w:cstheme="minorHAnsi"/>
          <w:u w:val="single"/>
        </w:rPr>
        <w:t xml:space="preserve"> or </w:t>
      </w:r>
      <w:r w:rsidRPr="00C05835">
        <w:rPr>
          <w:rFonts w:eastAsia="Cambria" w:cstheme="minorHAnsi"/>
          <w:i/>
          <w:u w:val="single"/>
        </w:rPr>
        <w:t>dwelling units</w:t>
      </w:r>
      <w:r w:rsidRPr="00C05835">
        <w:rPr>
          <w:rFonts w:eastAsia="Cambria" w:cstheme="minorHAnsi"/>
          <w:u w:val="single"/>
        </w:rPr>
        <w:t xml:space="preserve"> shall be as follows:</w:t>
      </w:r>
    </w:p>
    <w:p w14:paraId="2A713D4C" w14:textId="77777777" w:rsidR="00254FE3" w:rsidRPr="00C05835" w:rsidRDefault="00254FE3" w:rsidP="00254FE3">
      <w:pPr>
        <w:spacing w:before="36" w:after="36" w:line="240" w:lineRule="auto"/>
        <w:rPr>
          <w:rFonts w:eastAsia="Cambria" w:cstheme="minorHAnsi"/>
          <w:b/>
          <w:bCs/>
          <w:u w:val="single"/>
        </w:rPr>
      </w:pPr>
    </w:p>
    <w:p w14:paraId="554967B9" w14:textId="02BDE9DE" w:rsidR="00254FE3" w:rsidRPr="00C05835" w:rsidRDefault="00254FE3" w:rsidP="00886300">
      <w:pPr>
        <w:numPr>
          <w:ilvl w:val="0"/>
          <w:numId w:val="4"/>
        </w:numPr>
        <w:spacing w:before="36" w:after="36" w:line="240" w:lineRule="auto"/>
        <w:rPr>
          <w:rFonts w:eastAsia="Cambria" w:cstheme="minorHAnsi"/>
          <w:b/>
          <w:bCs/>
          <w:u w:val="single"/>
        </w:rPr>
      </w:pPr>
      <w:r w:rsidRPr="00C05835">
        <w:rPr>
          <w:rFonts w:eastAsia="Cambria" w:cstheme="minorHAnsi"/>
          <w:u w:val="single"/>
        </w:rPr>
        <w:t xml:space="preserve">Where complying with Section </w:t>
      </w:r>
      <w:r w:rsidR="00886300" w:rsidRPr="00C05835">
        <w:rPr>
          <w:rFonts w:eastAsia="Cambria" w:cstheme="minorHAnsi"/>
          <w:u w:val="single"/>
        </w:rPr>
        <w:t>N1101</w:t>
      </w:r>
      <w:r w:rsidRPr="00C05835">
        <w:rPr>
          <w:rFonts w:eastAsia="Cambria" w:cstheme="minorHAnsi"/>
          <w:u w:val="single"/>
        </w:rPr>
        <w:t>.</w:t>
      </w:r>
      <w:r w:rsidR="00886300" w:rsidRPr="00C05835">
        <w:rPr>
          <w:rFonts w:eastAsia="Cambria" w:cstheme="minorHAnsi"/>
          <w:u w:val="single"/>
        </w:rPr>
        <w:t>13</w:t>
      </w:r>
      <w:r w:rsidRPr="00C05835">
        <w:rPr>
          <w:rFonts w:eastAsia="Cambria" w:cstheme="minorHAnsi"/>
          <w:u w:val="single"/>
        </w:rPr>
        <w:t xml:space="preserve">.1, the </w:t>
      </w:r>
      <w:r w:rsidRPr="00C05835">
        <w:rPr>
          <w:rFonts w:eastAsia="Cambria" w:cstheme="minorHAnsi"/>
          <w:i/>
          <w:iCs/>
          <w:u w:val="single"/>
        </w:rPr>
        <w:t>building</w:t>
      </w:r>
      <w:r w:rsidRPr="00C05835">
        <w:rPr>
          <w:rFonts w:eastAsia="Cambria" w:cstheme="minorHAnsi"/>
          <w:u w:val="single"/>
        </w:rPr>
        <w:t xml:space="preserve"> or </w:t>
      </w:r>
      <w:r w:rsidRPr="00C05835">
        <w:rPr>
          <w:rFonts w:eastAsia="Cambria" w:cstheme="minorHAnsi"/>
          <w:i/>
          <w:iCs/>
          <w:u w:val="single"/>
        </w:rPr>
        <w:t>dwelling unit</w:t>
      </w:r>
      <w:r w:rsidR="00491484" w:rsidRPr="00C05835">
        <w:rPr>
          <w:rFonts w:eastAsia="Cambria" w:cstheme="minorHAnsi"/>
          <w:i/>
          <w:iCs/>
          <w:u w:val="single"/>
        </w:rPr>
        <w:t>s</w:t>
      </w:r>
      <w:r w:rsidRPr="00C05835">
        <w:rPr>
          <w:rFonts w:eastAsia="Cambria" w:cstheme="minorHAnsi"/>
          <w:u w:val="single"/>
        </w:rPr>
        <w:t xml:space="preserve"> in the building shall have an air leakage rate not greater than 4.0 air changes per hour in Climate Zones 0, 1 and 2, 3.0 air changes per hour in Climate Zones 3 through 5, and 2.5 air changes per hour in Climate Zones 6 through 8.</w:t>
      </w:r>
    </w:p>
    <w:p w14:paraId="7C1CF93F" w14:textId="3C2534F9" w:rsidR="00254FE3" w:rsidRPr="00C05835" w:rsidRDefault="00254FE3" w:rsidP="00886300">
      <w:pPr>
        <w:numPr>
          <w:ilvl w:val="0"/>
          <w:numId w:val="5"/>
        </w:numPr>
        <w:spacing w:before="36" w:after="36" w:line="240" w:lineRule="auto"/>
        <w:rPr>
          <w:rFonts w:eastAsia="Cambria" w:cstheme="minorHAnsi"/>
          <w:b/>
          <w:bCs/>
          <w:u w:val="single"/>
        </w:rPr>
      </w:pPr>
      <w:r w:rsidRPr="00C05835">
        <w:rPr>
          <w:rFonts w:eastAsia="Cambria" w:cstheme="minorHAnsi"/>
          <w:u w:val="single"/>
        </w:rPr>
        <w:t xml:space="preserve">Where complying with Section </w:t>
      </w:r>
      <w:bookmarkStart w:id="2" w:name="_Hlk129284929"/>
      <w:r w:rsidR="00886300" w:rsidRPr="00C05835">
        <w:rPr>
          <w:rFonts w:eastAsia="Cambria" w:cstheme="minorHAnsi"/>
          <w:u w:val="single"/>
        </w:rPr>
        <w:t xml:space="preserve">N1101.13.2 </w:t>
      </w:r>
      <w:r w:rsidRPr="00C05835">
        <w:rPr>
          <w:rFonts w:eastAsia="Cambria" w:cstheme="minorHAnsi"/>
          <w:u w:val="single"/>
        </w:rPr>
        <w:t xml:space="preserve">or </w:t>
      </w:r>
      <w:r w:rsidR="00886300" w:rsidRPr="00C05835">
        <w:rPr>
          <w:rFonts w:eastAsia="Cambria" w:cstheme="minorHAnsi"/>
          <w:u w:val="single"/>
        </w:rPr>
        <w:t>N1101.13.3</w:t>
      </w:r>
      <w:bookmarkEnd w:id="2"/>
      <w:r w:rsidRPr="00C05835">
        <w:rPr>
          <w:rFonts w:eastAsia="Cambria" w:cstheme="minorHAnsi"/>
          <w:u w:val="single"/>
        </w:rPr>
        <w:t xml:space="preserve">, </w:t>
      </w:r>
      <w:r w:rsidR="00491484" w:rsidRPr="00C05835">
        <w:rPr>
          <w:rFonts w:eastAsia="Cambria" w:cstheme="minorHAnsi"/>
          <w:u w:val="single"/>
        </w:rPr>
        <w:t xml:space="preserve">the </w:t>
      </w:r>
      <w:r w:rsidR="00491484" w:rsidRPr="00C05835">
        <w:rPr>
          <w:rFonts w:eastAsia="Cambria" w:cstheme="minorHAnsi"/>
          <w:i/>
          <w:iCs/>
          <w:u w:val="single"/>
        </w:rPr>
        <w:t>building</w:t>
      </w:r>
      <w:r w:rsidR="00491484" w:rsidRPr="00C05835">
        <w:rPr>
          <w:rFonts w:eastAsia="Cambria" w:cstheme="minorHAnsi"/>
          <w:u w:val="single"/>
        </w:rPr>
        <w:t xml:space="preserve"> or </w:t>
      </w:r>
      <w:r w:rsidR="00491484" w:rsidRPr="00C05835">
        <w:rPr>
          <w:rFonts w:eastAsia="Cambria" w:cstheme="minorHAnsi"/>
          <w:i/>
          <w:iCs/>
          <w:u w:val="single"/>
        </w:rPr>
        <w:t>dwelling units</w:t>
      </w:r>
      <w:r w:rsidR="00491484" w:rsidRPr="00C05835">
        <w:rPr>
          <w:rFonts w:eastAsia="Cambria" w:cstheme="minorHAnsi"/>
          <w:u w:val="single"/>
        </w:rPr>
        <w:t xml:space="preserve"> in the building shall have an air leakage rate not greater </w:t>
      </w:r>
      <w:r w:rsidRPr="00C05835">
        <w:rPr>
          <w:rFonts w:eastAsia="Cambria" w:cstheme="minorHAnsi"/>
          <w:u w:val="single"/>
        </w:rPr>
        <w:t>than 4.0 air changes per hour</w:t>
      </w:r>
      <w:r w:rsidR="00491484" w:rsidRPr="00C05835">
        <w:rPr>
          <w:rFonts w:eastAsia="Cambria" w:cstheme="minorHAnsi"/>
          <w:u w:val="single"/>
        </w:rPr>
        <w:t>,</w:t>
      </w:r>
      <w:r w:rsidRPr="00C05835">
        <w:rPr>
          <w:rFonts w:eastAsia="Cambria" w:cstheme="minorHAnsi"/>
          <w:u w:val="single"/>
        </w:rPr>
        <w:t xml:space="preserve"> or </w:t>
      </w:r>
      <w:r w:rsidR="00C65AF1" w:rsidRPr="00BF7631">
        <w:rPr>
          <w:rFonts w:eastAsia="Cambria" w:cstheme="minorHAnsi"/>
          <w:strike/>
          <w:color w:val="FF0000"/>
          <w:u w:val="single"/>
        </w:rPr>
        <w:t>0.2</w:t>
      </w:r>
      <w:r w:rsidR="00C65AF1">
        <w:rPr>
          <w:rFonts w:eastAsia="Cambria" w:cstheme="minorHAnsi"/>
          <w:strike/>
          <w:color w:val="FF0000"/>
          <w:u w:val="single"/>
        </w:rPr>
        <w:t>2</w:t>
      </w:r>
      <w:r w:rsidR="00C65AF1" w:rsidRPr="00C65AF1">
        <w:rPr>
          <w:rFonts w:eastAsia="Cambria" w:cstheme="minorHAnsi"/>
          <w:color w:val="FF0000"/>
          <w:u w:val="single"/>
        </w:rPr>
        <w:t xml:space="preserve"> 0.20</w:t>
      </w:r>
      <w:r w:rsidR="00C65AF1">
        <w:rPr>
          <w:rFonts w:eastAsia="Cambria" w:cstheme="minorHAnsi"/>
          <w:color w:val="FF0000"/>
          <w:u w:val="single"/>
        </w:rPr>
        <w:t xml:space="preserve"> </w:t>
      </w:r>
      <w:r w:rsidRPr="00C05835">
        <w:rPr>
          <w:rFonts w:eastAsia="Cambria" w:cstheme="minorHAnsi"/>
          <w:u w:val="single"/>
        </w:rPr>
        <w:t xml:space="preserve"> cfm/ft</w:t>
      </w:r>
      <w:r w:rsidRPr="00C05835">
        <w:rPr>
          <w:rFonts w:eastAsia="Cambria" w:cstheme="minorHAnsi"/>
          <w:u w:val="single"/>
          <w:vertAlign w:val="superscript"/>
        </w:rPr>
        <w:t>2</w:t>
      </w:r>
      <w:r w:rsidRPr="00C05835">
        <w:rPr>
          <w:rFonts w:eastAsia="Cambria" w:cstheme="minorHAnsi"/>
          <w:u w:val="single"/>
        </w:rPr>
        <w:t xml:space="preserve"> (1.1 L/s x m</w:t>
      </w:r>
      <w:r w:rsidRPr="00C05835">
        <w:rPr>
          <w:rFonts w:eastAsia="Cambria" w:cstheme="minorHAnsi"/>
          <w:u w:val="single"/>
          <w:vertAlign w:val="superscript"/>
        </w:rPr>
        <w:t>2</w:t>
      </w:r>
      <w:r w:rsidRPr="00C05835">
        <w:rPr>
          <w:rFonts w:eastAsia="Cambria" w:cstheme="minorHAnsi"/>
          <w:u w:val="single"/>
        </w:rPr>
        <w:t xml:space="preserve">) of the </w:t>
      </w:r>
      <w:r w:rsidRPr="00C05835">
        <w:rPr>
          <w:rFonts w:eastAsia="Cambria" w:cstheme="minorHAnsi"/>
          <w:i/>
          <w:iCs/>
          <w:u w:val="single"/>
        </w:rPr>
        <w:t>building thermal envelope</w:t>
      </w:r>
      <w:r w:rsidRPr="00C05835">
        <w:rPr>
          <w:rFonts w:eastAsia="Cambria" w:cstheme="minorHAnsi"/>
          <w:u w:val="single"/>
        </w:rPr>
        <w:t xml:space="preserve"> area</w:t>
      </w:r>
      <w:r w:rsidR="00491484" w:rsidRPr="00C05835">
        <w:rPr>
          <w:rFonts w:eastAsia="Cambria" w:cstheme="minorHAnsi"/>
          <w:u w:val="single"/>
        </w:rPr>
        <w:t xml:space="preserve"> or</w:t>
      </w:r>
      <w:r w:rsidR="00491484" w:rsidRPr="00C05835">
        <w:rPr>
          <w:rFonts w:eastAsia="Cambria" w:cstheme="minorHAnsi"/>
          <w:i/>
          <w:iCs/>
          <w:u w:val="single"/>
        </w:rPr>
        <w:t xml:space="preserve"> dwelling unit enclosure area</w:t>
      </w:r>
      <w:r w:rsidR="00491484" w:rsidRPr="00C05835">
        <w:rPr>
          <w:rFonts w:eastAsia="Cambria" w:cstheme="minorHAnsi"/>
          <w:u w:val="single"/>
        </w:rPr>
        <w:t>, as applicable</w:t>
      </w:r>
      <w:r w:rsidRPr="00C05835">
        <w:rPr>
          <w:rFonts w:eastAsia="Cambria" w:cstheme="minorHAnsi"/>
          <w:u w:val="single"/>
        </w:rPr>
        <w:t xml:space="preserve">. </w:t>
      </w:r>
    </w:p>
    <w:p w14:paraId="363F008C" w14:textId="77777777" w:rsidR="008527CF" w:rsidRPr="00C05835" w:rsidRDefault="008527CF" w:rsidP="008527CF">
      <w:pPr>
        <w:spacing w:before="36" w:after="36" w:line="240" w:lineRule="auto"/>
        <w:ind w:firstLine="360"/>
        <w:rPr>
          <w:rFonts w:eastAsia="Cambria" w:cstheme="minorHAnsi"/>
          <w:b/>
          <w:bCs/>
          <w:u w:val="single"/>
        </w:rPr>
      </w:pPr>
    </w:p>
    <w:p w14:paraId="7E92EC4E" w14:textId="0788B67F" w:rsidR="00254FE3" w:rsidRPr="00C05835" w:rsidRDefault="00254FE3" w:rsidP="00491484">
      <w:pPr>
        <w:spacing w:before="36" w:after="36" w:line="240" w:lineRule="auto"/>
        <w:ind w:firstLine="360"/>
        <w:rPr>
          <w:rFonts w:eastAsia="Cambria" w:cstheme="minorHAnsi"/>
          <w:b/>
          <w:bCs/>
          <w:u w:val="single"/>
        </w:rPr>
      </w:pPr>
      <w:r w:rsidRPr="00C05835">
        <w:rPr>
          <w:rFonts w:eastAsia="Cambria" w:cstheme="minorHAnsi"/>
          <w:b/>
          <w:bCs/>
          <w:u w:val="single"/>
        </w:rPr>
        <w:t>Exception</w:t>
      </w:r>
      <w:r w:rsidR="008527CF" w:rsidRPr="00C05835">
        <w:rPr>
          <w:rFonts w:eastAsia="Cambria" w:cstheme="minorHAnsi"/>
          <w:b/>
          <w:bCs/>
          <w:u w:val="single"/>
        </w:rPr>
        <w:t>s</w:t>
      </w:r>
      <w:r w:rsidRPr="00C05835">
        <w:rPr>
          <w:rFonts w:eastAsia="Cambria" w:cstheme="minorHAnsi"/>
          <w:b/>
          <w:bCs/>
          <w:u w:val="single"/>
        </w:rPr>
        <w:t>:</w:t>
      </w:r>
    </w:p>
    <w:p w14:paraId="58C0AAD5" w14:textId="0B030899" w:rsidR="00491484" w:rsidRPr="00C05835" w:rsidRDefault="00491484" w:rsidP="008527CF">
      <w:pPr>
        <w:pStyle w:val="ListParagraph"/>
        <w:numPr>
          <w:ilvl w:val="0"/>
          <w:numId w:val="9"/>
        </w:numPr>
        <w:spacing w:before="36" w:after="36" w:line="240" w:lineRule="auto"/>
        <w:rPr>
          <w:rFonts w:eastAsia="Cambria" w:cstheme="minorHAnsi"/>
          <w:u w:val="single"/>
        </w:rPr>
      </w:pPr>
      <w:r w:rsidRPr="00C05835">
        <w:rPr>
          <w:rFonts w:eastAsia="Cambria" w:cstheme="minorHAnsi"/>
          <w:u w:val="single"/>
        </w:rPr>
        <w:t xml:space="preserve">Where </w:t>
      </w:r>
      <w:r w:rsidRPr="00C05835">
        <w:rPr>
          <w:rFonts w:eastAsia="Cambria" w:cstheme="minorHAnsi"/>
          <w:i/>
          <w:iCs/>
          <w:u w:val="single"/>
        </w:rPr>
        <w:t>dwelling units</w:t>
      </w:r>
      <w:r w:rsidRPr="00C05835">
        <w:rPr>
          <w:rFonts w:eastAsia="Cambria" w:cstheme="minorHAnsi"/>
          <w:u w:val="single"/>
        </w:rPr>
        <w:t xml:space="preserve"> are attached, the air leakage rate</w:t>
      </w:r>
      <w:r w:rsidR="004529D0">
        <w:rPr>
          <w:rFonts w:eastAsia="Cambria" w:cstheme="minorHAnsi"/>
          <w:u w:val="single"/>
        </w:rPr>
        <w:t xml:space="preserve"> is permitted to be </w:t>
      </w:r>
      <w:r w:rsidRPr="00C05835">
        <w:rPr>
          <w:rFonts w:eastAsia="Cambria" w:cstheme="minorHAnsi"/>
          <w:u w:val="single"/>
        </w:rPr>
        <w:t>not</w:t>
      </w:r>
      <w:r w:rsidR="004529D0">
        <w:rPr>
          <w:rFonts w:eastAsia="Cambria" w:cstheme="minorHAnsi"/>
          <w:u w:val="single"/>
        </w:rPr>
        <w:t xml:space="preserve"> greater than </w:t>
      </w:r>
      <w:r w:rsidRPr="00C05835">
        <w:rPr>
          <w:rFonts w:eastAsia="Cambria" w:cstheme="minorHAnsi"/>
          <w:u w:val="single"/>
        </w:rPr>
        <w:t>0.27 cfm/ft</w:t>
      </w:r>
      <w:r w:rsidRPr="00C05835">
        <w:rPr>
          <w:rFonts w:eastAsia="Cambria" w:cstheme="minorHAnsi"/>
          <w:u w:val="single"/>
          <w:vertAlign w:val="superscript"/>
        </w:rPr>
        <w:t>2</w:t>
      </w:r>
      <w:r w:rsidRPr="00C05835">
        <w:rPr>
          <w:rFonts w:eastAsia="Cambria" w:cstheme="minorHAnsi"/>
          <w:u w:val="single"/>
        </w:rPr>
        <w:t xml:space="preserve"> (1.35 L/s x m</w:t>
      </w:r>
      <w:r w:rsidRPr="00C05835">
        <w:rPr>
          <w:rFonts w:eastAsia="Cambria" w:cstheme="minorHAnsi"/>
          <w:u w:val="single"/>
          <w:vertAlign w:val="superscript"/>
        </w:rPr>
        <w:t>2</w:t>
      </w:r>
      <w:r w:rsidRPr="00C05835">
        <w:rPr>
          <w:rFonts w:eastAsia="Cambria" w:cstheme="minorHAnsi"/>
          <w:u w:val="single"/>
        </w:rPr>
        <w:t xml:space="preserve">) of the </w:t>
      </w:r>
      <w:r w:rsidRPr="00C05835">
        <w:rPr>
          <w:rFonts w:eastAsia="Cambria" w:cstheme="minorHAnsi"/>
          <w:i/>
          <w:iCs/>
          <w:u w:val="single"/>
        </w:rPr>
        <w:t>dwelling unit enclosure area.</w:t>
      </w:r>
    </w:p>
    <w:p w14:paraId="65806771" w14:textId="1AF2FED3" w:rsidR="00254FE3" w:rsidRPr="00C65AF1" w:rsidRDefault="004529D0" w:rsidP="00491484">
      <w:pPr>
        <w:pStyle w:val="ListParagraph"/>
        <w:numPr>
          <w:ilvl w:val="0"/>
          <w:numId w:val="9"/>
        </w:numPr>
        <w:spacing w:before="36" w:after="36" w:line="240" w:lineRule="auto"/>
        <w:rPr>
          <w:rFonts w:eastAsia="Cambria" w:cstheme="minorHAnsi"/>
          <w:strike/>
          <w:color w:val="FF0000"/>
          <w:u w:val="single"/>
        </w:rPr>
      </w:pPr>
      <w:r>
        <w:rPr>
          <w:rFonts w:eastAsia="Cambria" w:cstheme="minorHAnsi"/>
          <w:strike/>
          <w:color w:val="FF0000"/>
          <w:u w:val="single"/>
        </w:rPr>
        <w:t>Where</w:t>
      </w:r>
      <w:r w:rsidR="00254FE3" w:rsidRPr="00C65AF1">
        <w:rPr>
          <w:rFonts w:eastAsia="Cambria" w:cstheme="minorHAnsi"/>
          <w:strike/>
          <w:color w:val="FF0000"/>
          <w:u w:val="single"/>
        </w:rPr>
        <w:t xml:space="preserve"> buildings</w:t>
      </w:r>
      <w:r>
        <w:rPr>
          <w:rFonts w:eastAsia="Cambria" w:cstheme="minorHAnsi"/>
          <w:strike/>
          <w:color w:val="FF0000"/>
          <w:u w:val="single"/>
        </w:rPr>
        <w:t xml:space="preserve"> have</w:t>
      </w:r>
      <w:r w:rsidR="00254FE3" w:rsidRPr="00C65AF1">
        <w:rPr>
          <w:rFonts w:eastAsia="Cambria" w:cstheme="minorHAnsi"/>
          <w:strike/>
          <w:color w:val="FF0000"/>
          <w:u w:val="single"/>
        </w:rPr>
        <w:t xml:space="preserve"> 1,500 square feet (139.4 m</w:t>
      </w:r>
      <w:r w:rsidR="00254FE3" w:rsidRPr="00C65AF1">
        <w:rPr>
          <w:rFonts w:eastAsia="Cambria" w:cstheme="minorHAnsi"/>
          <w:strike/>
          <w:color w:val="FF0000"/>
          <w:u w:val="single"/>
          <w:vertAlign w:val="superscript"/>
        </w:rPr>
        <w:t>2</w:t>
      </w:r>
      <w:r w:rsidR="00254FE3" w:rsidRPr="00C65AF1">
        <w:rPr>
          <w:rFonts w:eastAsia="Cambria" w:cstheme="minorHAnsi"/>
          <w:strike/>
          <w:color w:val="FF0000"/>
          <w:u w:val="single"/>
        </w:rPr>
        <w:t>) or less</w:t>
      </w:r>
      <w:r>
        <w:rPr>
          <w:rFonts w:eastAsia="Cambria" w:cstheme="minorHAnsi"/>
          <w:strike/>
          <w:color w:val="FF0000"/>
          <w:u w:val="single"/>
        </w:rPr>
        <w:t xml:space="preserve"> of </w:t>
      </w:r>
      <w:r w:rsidRPr="004529D0">
        <w:rPr>
          <w:rFonts w:eastAsia="Cambria" w:cstheme="minorHAnsi"/>
          <w:i/>
          <w:iCs/>
          <w:strike/>
          <w:color w:val="FF0000"/>
          <w:u w:val="single"/>
        </w:rPr>
        <w:t>conditioned floor area</w:t>
      </w:r>
      <w:r w:rsidR="00254FE3" w:rsidRPr="00C65AF1">
        <w:rPr>
          <w:rFonts w:eastAsia="Cambria" w:cstheme="minorHAnsi"/>
          <w:strike/>
          <w:color w:val="FF0000"/>
          <w:u w:val="single"/>
        </w:rPr>
        <w:t xml:space="preserve">, the air leakage rate </w:t>
      </w:r>
      <w:r>
        <w:rPr>
          <w:rFonts w:eastAsia="Cambria" w:cstheme="minorHAnsi"/>
          <w:strike/>
          <w:color w:val="FF0000"/>
          <w:u w:val="single"/>
        </w:rPr>
        <w:t>is permitted to be not</w:t>
      </w:r>
      <w:r w:rsidR="00491484" w:rsidRPr="00C65AF1">
        <w:rPr>
          <w:rFonts w:eastAsia="Cambria" w:cstheme="minorHAnsi"/>
          <w:strike/>
          <w:color w:val="FF0000"/>
          <w:u w:val="single"/>
        </w:rPr>
        <w:t xml:space="preserve"> greater than</w:t>
      </w:r>
      <w:r w:rsidR="00254FE3" w:rsidRPr="00C65AF1">
        <w:rPr>
          <w:rFonts w:eastAsia="Cambria" w:cstheme="minorHAnsi"/>
          <w:strike/>
          <w:color w:val="FF0000"/>
          <w:u w:val="single"/>
        </w:rPr>
        <w:t xml:space="preserve"> 0.27 cfm/ft</w:t>
      </w:r>
      <w:r w:rsidR="00254FE3" w:rsidRPr="00C65AF1">
        <w:rPr>
          <w:rFonts w:eastAsia="Cambria" w:cstheme="minorHAnsi"/>
          <w:strike/>
          <w:color w:val="FF0000"/>
          <w:u w:val="single"/>
          <w:vertAlign w:val="superscript"/>
        </w:rPr>
        <w:t xml:space="preserve">2 </w:t>
      </w:r>
      <w:r w:rsidR="00254FE3" w:rsidRPr="00C65AF1">
        <w:rPr>
          <w:rFonts w:eastAsia="Cambria" w:cstheme="minorHAnsi"/>
          <w:strike/>
          <w:color w:val="FF0000"/>
          <w:u w:val="single"/>
        </w:rPr>
        <w:t>(1.35 L/s x m</w:t>
      </w:r>
      <w:r w:rsidR="00254FE3" w:rsidRPr="00C65AF1">
        <w:rPr>
          <w:rFonts w:eastAsia="Cambria" w:cstheme="minorHAnsi"/>
          <w:strike/>
          <w:color w:val="FF0000"/>
          <w:u w:val="single"/>
          <w:vertAlign w:val="superscript"/>
        </w:rPr>
        <w:t>2</w:t>
      </w:r>
      <w:r w:rsidR="00254FE3" w:rsidRPr="00C65AF1">
        <w:rPr>
          <w:rFonts w:eastAsia="Cambria" w:cstheme="minorHAnsi"/>
          <w:strike/>
          <w:color w:val="FF0000"/>
          <w:u w:val="single"/>
        </w:rPr>
        <w:t>).</w:t>
      </w:r>
    </w:p>
    <w:p w14:paraId="02E5F3FF" w14:textId="726692D4" w:rsidR="008527CF" w:rsidRPr="00C05835" w:rsidRDefault="008527CF" w:rsidP="00491484">
      <w:pPr>
        <w:pStyle w:val="ListParagraph"/>
        <w:spacing w:before="36" w:after="36" w:line="240" w:lineRule="auto"/>
        <w:ind w:left="1440"/>
        <w:rPr>
          <w:rFonts w:eastAsia="Cambria" w:cstheme="minorHAnsi"/>
          <w:u w:val="single"/>
        </w:rPr>
      </w:pPr>
    </w:p>
    <w:sectPr w:rsidR="008527CF" w:rsidRPr="00C05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Gayathri Vijayakumar" w:date="2023-03-18T18:44:00Z" w:initials="GV">
    <w:p w14:paraId="11541DBE" w14:textId="77777777" w:rsidR="00C65AF1" w:rsidRDefault="00BF7631" w:rsidP="0063748D">
      <w:pPr>
        <w:pStyle w:val="CommentText"/>
      </w:pPr>
      <w:r>
        <w:rPr>
          <w:rStyle w:val="CommentReference"/>
        </w:rPr>
        <w:annotationRef/>
      </w:r>
      <w:r w:rsidR="00C65AF1">
        <w:t>This MOD strikes this Exception for single family detached homes since at 0.20, they do get a higher allowance than 4 ACH50.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541D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0851D" w16cex:dateUtc="2023-03-18T2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541DBE" w16cid:durableId="27C085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3AA1"/>
    <w:multiLevelType w:val="hybridMultilevel"/>
    <w:tmpl w:val="AB182D04"/>
    <w:lvl w:ilvl="0" w:tplc="C09E14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2A7CB5"/>
    <w:multiLevelType w:val="hybridMultilevel"/>
    <w:tmpl w:val="31608A6A"/>
    <w:lvl w:ilvl="0" w:tplc="63008DE6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C1AE401"/>
    <w:multiLevelType w:val="multilevel"/>
    <w:tmpl w:val="9F6A149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3" w15:restartNumberingAfterBreak="0">
    <w:nsid w:val="2F1D190E"/>
    <w:multiLevelType w:val="hybridMultilevel"/>
    <w:tmpl w:val="D4B478C2"/>
    <w:lvl w:ilvl="0" w:tplc="7A48A6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EA38B5"/>
    <w:multiLevelType w:val="hybridMultilevel"/>
    <w:tmpl w:val="BA2801D0"/>
    <w:lvl w:ilvl="0" w:tplc="52F4CA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12D59"/>
    <w:multiLevelType w:val="hybridMultilevel"/>
    <w:tmpl w:val="53F43A1C"/>
    <w:lvl w:ilvl="0" w:tplc="A4C003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73737"/>
    <w:multiLevelType w:val="hybridMultilevel"/>
    <w:tmpl w:val="9DAEA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37C96"/>
    <w:multiLevelType w:val="hybridMultilevel"/>
    <w:tmpl w:val="AB02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A1EB3"/>
    <w:multiLevelType w:val="hybridMultilevel"/>
    <w:tmpl w:val="185A7544"/>
    <w:lvl w:ilvl="0" w:tplc="31DAD97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F2AA5"/>
    <w:multiLevelType w:val="hybridMultilevel"/>
    <w:tmpl w:val="D55A7A78"/>
    <w:lvl w:ilvl="0" w:tplc="6DFE271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E42B1"/>
    <w:multiLevelType w:val="hybridMultilevel"/>
    <w:tmpl w:val="F44A7FA0"/>
    <w:lvl w:ilvl="0" w:tplc="12C0D4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71832436">
    <w:abstractNumId w:val="4"/>
  </w:num>
  <w:num w:numId="2" w16cid:durableId="2137138003">
    <w:abstractNumId w:val="0"/>
  </w:num>
  <w:num w:numId="3" w16cid:durableId="68118025">
    <w:abstractNumId w:val="6"/>
  </w:num>
  <w:num w:numId="4" w16cid:durableId="1820153352">
    <w:abstractNumId w:val="5"/>
  </w:num>
  <w:num w:numId="5" w16cid:durableId="1706179551">
    <w:abstractNumId w:val="8"/>
  </w:num>
  <w:num w:numId="6" w16cid:durableId="727648502">
    <w:abstractNumId w:val="9"/>
  </w:num>
  <w:num w:numId="7" w16cid:durableId="129710325">
    <w:abstractNumId w:val="7"/>
  </w:num>
  <w:num w:numId="8" w16cid:durableId="327952057">
    <w:abstractNumId w:val="3"/>
  </w:num>
  <w:num w:numId="9" w16cid:durableId="1540360592">
    <w:abstractNumId w:val="10"/>
  </w:num>
  <w:num w:numId="10" w16cid:durableId="1183325533">
    <w:abstractNumId w:val="2"/>
  </w:num>
  <w:num w:numId="11" w16cid:durableId="78808360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yathri Vijayakumar">
    <w15:presenceInfo w15:providerId="AD" w15:userId="S::gvijayakumar@swinter.com::24f66c16-4351-4dbf-a679-9fb4cf249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AB"/>
    <w:rsid w:val="000401C4"/>
    <w:rsid w:val="000C082F"/>
    <w:rsid w:val="001A2A7A"/>
    <w:rsid w:val="00254FE3"/>
    <w:rsid w:val="00281F6B"/>
    <w:rsid w:val="002E7E76"/>
    <w:rsid w:val="00317514"/>
    <w:rsid w:val="0036032F"/>
    <w:rsid w:val="00360FDD"/>
    <w:rsid w:val="003B4282"/>
    <w:rsid w:val="004529D0"/>
    <w:rsid w:val="00491484"/>
    <w:rsid w:val="004E213E"/>
    <w:rsid w:val="00533DCD"/>
    <w:rsid w:val="005E41C6"/>
    <w:rsid w:val="005E5AA2"/>
    <w:rsid w:val="006F5B74"/>
    <w:rsid w:val="00702340"/>
    <w:rsid w:val="00731547"/>
    <w:rsid w:val="007525FF"/>
    <w:rsid w:val="00847BC9"/>
    <w:rsid w:val="008527CF"/>
    <w:rsid w:val="008660F9"/>
    <w:rsid w:val="0087381E"/>
    <w:rsid w:val="00886300"/>
    <w:rsid w:val="00940200"/>
    <w:rsid w:val="00955D15"/>
    <w:rsid w:val="0096164A"/>
    <w:rsid w:val="00993C05"/>
    <w:rsid w:val="009C53F2"/>
    <w:rsid w:val="00A54AB9"/>
    <w:rsid w:val="00B61CBF"/>
    <w:rsid w:val="00B75E40"/>
    <w:rsid w:val="00B84E53"/>
    <w:rsid w:val="00BF7631"/>
    <w:rsid w:val="00C05835"/>
    <w:rsid w:val="00C65AF1"/>
    <w:rsid w:val="00D4155F"/>
    <w:rsid w:val="00D608AB"/>
    <w:rsid w:val="00D8137E"/>
    <w:rsid w:val="00EB0540"/>
    <w:rsid w:val="00EF7573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D37A"/>
  <w15:chartTrackingRefBased/>
  <w15:docId w15:val="{7D6D35C7-AF51-498E-9EF4-8F36058F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87381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381E"/>
    <w:pPr>
      <w:spacing w:after="200" w:line="240" w:lineRule="auto"/>
    </w:pPr>
    <w:rPr>
      <w:rFonts w:ascii="Helvetica Neue" w:hAnsi="Helvetica Neu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381E"/>
    <w:rPr>
      <w:rFonts w:ascii="Helvetica Neue" w:hAnsi="Helvetica Neue"/>
      <w:sz w:val="20"/>
      <w:szCs w:val="20"/>
    </w:rPr>
  </w:style>
  <w:style w:type="paragraph" w:styleId="ListParagraph">
    <w:name w:val="List Paragraph"/>
    <w:basedOn w:val="Normal"/>
    <w:qFormat/>
    <w:rsid w:val="00533DC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E76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E76"/>
    <w:rPr>
      <w:rFonts w:ascii="Helvetica Neue" w:hAnsi="Helvetica Neue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082F"/>
    <w:pPr>
      <w:spacing w:after="0" w:line="240" w:lineRule="auto"/>
    </w:pPr>
  </w:style>
  <w:style w:type="paragraph" w:styleId="BodyText">
    <w:name w:val="Body Text"/>
    <w:basedOn w:val="Normal"/>
    <w:link w:val="BodyTextChar"/>
    <w:qFormat/>
    <w:rsid w:val="000401C4"/>
    <w:pPr>
      <w:spacing w:before="180" w:after="180" w:line="240" w:lineRule="auto"/>
    </w:pPr>
    <w:rPr>
      <w:rFonts w:ascii="Helvetica Neue" w:hAnsi="Helvetica Neue"/>
      <w:color w:val="000000" w:themeColor="text1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0401C4"/>
    <w:rPr>
      <w:rFonts w:ascii="Helvetica Neue" w:hAnsi="Helvetica Neue"/>
      <w:color w:val="000000" w:themeColor="text1"/>
      <w:sz w:val="20"/>
      <w:szCs w:val="24"/>
    </w:rPr>
  </w:style>
  <w:style w:type="paragraph" w:customStyle="1" w:styleId="Compact">
    <w:name w:val="Compact"/>
    <w:basedOn w:val="BodyText"/>
    <w:qFormat/>
    <w:rsid w:val="000401C4"/>
    <w:pPr>
      <w:spacing w:before="36" w:after="36"/>
    </w:pPr>
  </w:style>
  <w:style w:type="table" w:customStyle="1" w:styleId="Table">
    <w:name w:val="Table"/>
    <w:unhideWhenUsed/>
    <w:qFormat/>
    <w:rsid w:val="000401C4"/>
    <w:pPr>
      <w:spacing w:after="200" w:line="240" w:lineRule="auto"/>
    </w:pPr>
    <w:rPr>
      <w:rFonts w:ascii="Helvetica Neue" w:hAnsi="Helvetica Neue"/>
      <w:sz w:val="20"/>
      <w:szCs w:val="24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2204</Characters>
  <Application>Microsoft Office Word</Application>
  <DocSecurity>4</DocSecurity>
  <Lines>200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Weston</dc:creator>
  <cp:keywords/>
  <dc:description/>
  <cp:lastModifiedBy>Kristopher Stenger</cp:lastModifiedBy>
  <cp:revision>2</cp:revision>
  <dcterms:created xsi:type="dcterms:W3CDTF">2023-03-22T16:18:00Z</dcterms:created>
  <dcterms:modified xsi:type="dcterms:W3CDTF">2023-03-22T16:18:00Z</dcterms:modified>
</cp:coreProperties>
</file>