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BC65" w14:textId="1A8E3ADE" w:rsidR="00CD2A3B" w:rsidRDefault="00CD2A3B" w:rsidP="00CD2A3B">
      <w:pPr>
        <w:jc w:val="center"/>
        <w:rPr>
          <w:b/>
          <w:bCs/>
        </w:rPr>
      </w:pPr>
      <w:r w:rsidRPr="00CD2A3B">
        <w:rPr>
          <w:b/>
          <w:bCs/>
        </w:rPr>
        <w:t>REPI 167 Modification</w:t>
      </w:r>
    </w:p>
    <w:p w14:paraId="5D750CF8" w14:textId="6E7F7A61" w:rsidR="00EF43DC" w:rsidRDefault="00EF43DC" w:rsidP="00CD2A3B">
      <w:pPr>
        <w:jc w:val="center"/>
        <w:rPr>
          <w:b/>
          <w:bCs/>
        </w:rPr>
      </w:pPr>
    </w:p>
    <w:p w14:paraId="2B86D7D8" w14:textId="13ED9F24" w:rsidR="00EF43DC" w:rsidRDefault="00EF43DC" w:rsidP="00EF43DC">
      <w:r>
        <w:t>Replace original proposal with the following:</w:t>
      </w:r>
    </w:p>
    <w:p w14:paraId="56AF1470" w14:textId="10BD824D" w:rsidR="00096C46" w:rsidRPr="00EF43DC" w:rsidRDefault="00096C46" w:rsidP="00EF43DC"/>
    <w:p w14:paraId="56465269" w14:textId="62D46EBE" w:rsidR="00CD2A3B" w:rsidRDefault="00CD2A3B"/>
    <w:p w14:paraId="0AA95EBF" w14:textId="25BDB378" w:rsidR="00CD2A3B" w:rsidRDefault="00CD2A3B">
      <w:r>
        <w:rPr>
          <w:noProof/>
        </w:rPr>
        <w:drawing>
          <wp:inline distT="0" distB="0" distL="0" distR="0" wp14:anchorId="799ACB1F" wp14:editId="5D137C94">
            <wp:extent cx="5943600" cy="380047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3800475"/>
                    </a:xfrm>
                    <a:prstGeom prst="rect">
                      <a:avLst/>
                    </a:prstGeom>
                  </pic:spPr>
                </pic:pic>
              </a:graphicData>
            </a:graphic>
          </wp:inline>
        </w:drawing>
      </w:r>
    </w:p>
    <w:p w14:paraId="5CF257E6" w14:textId="5822FB14" w:rsidR="00CD2A3B" w:rsidRDefault="00CD2A3B"/>
    <w:p w14:paraId="51071704" w14:textId="180ACBBF" w:rsidR="00CD2A3B" w:rsidRDefault="00CD2A3B"/>
    <w:p w14:paraId="71372950" w14:textId="0779AEA2" w:rsidR="00CD2A3B" w:rsidRDefault="00CD2A3B">
      <w:r>
        <w:rPr>
          <w:noProof/>
        </w:rPr>
        <w:drawing>
          <wp:inline distT="0" distB="0" distL="0" distR="0" wp14:anchorId="25457317" wp14:editId="01490807">
            <wp:extent cx="5943600" cy="3721735"/>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3721735"/>
                    </a:xfrm>
                    <a:prstGeom prst="rect">
                      <a:avLst/>
                    </a:prstGeom>
                  </pic:spPr>
                </pic:pic>
              </a:graphicData>
            </a:graphic>
          </wp:inline>
        </w:drawing>
      </w:r>
    </w:p>
    <w:p w14:paraId="622D3C9D" w14:textId="78F1AB9B" w:rsidR="00D27D69" w:rsidRDefault="00134C86">
      <w:r>
        <w:t xml:space="preserve"> </w:t>
      </w:r>
    </w:p>
    <w:p w14:paraId="1FC558E6" w14:textId="70F02E91" w:rsidR="00D27D69" w:rsidRDefault="00D27D69"/>
    <w:p w14:paraId="493767A9" w14:textId="1A89B69C" w:rsidR="00D27D69" w:rsidRDefault="00D27D69">
      <w:r>
        <w:rPr>
          <w:rFonts w:ascii="Arial" w:hAnsi="Arial" w:cs="Arial"/>
          <w:b/>
          <w:bCs/>
          <w:color w:val="222222"/>
          <w:shd w:val="clear" w:color="auto" w:fill="FFFFFF"/>
        </w:rPr>
        <w:t>R408.2 </w:t>
      </w:r>
      <w:r>
        <w:rPr>
          <w:rFonts w:ascii="Arial" w:hAnsi="Arial" w:cs="Arial"/>
          <w:b/>
          <w:bCs/>
          <w:color w:val="222222"/>
          <w:u w:val="single"/>
          <w:shd w:val="clear" w:color="auto" w:fill="FFFFFF"/>
        </w:rPr>
        <w:t>A</w:t>
      </w:r>
      <w:r>
        <w:rPr>
          <w:rFonts w:ascii="Arial" w:hAnsi="Arial" w:cs="Arial"/>
          <w:b/>
          <w:bCs/>
          <w:color w:val="222222"/>
          <w:shd w:val="clear" w:color="auto" w:fill="FFFFFF"/>
        </w:rPr>
        <w:t>dditional efficiency </w:t>
      </w:r>
      <w:r>
        <w:rPr>
          <w:rFonts w:ascii="Arial" w:hAnsi="Arial" w:cs="Arial"/>
          <w:b/>
          <w:bCs/>
          <w:color w:val="222222"/>
          <w:u w:val="single"/>
          <w:shd w:val="clear" w:color="auto" w:fill="FFFFFF"/>
        </w:rPr>
        <w:t>credits </w:t>
      </w:r>
      <w:r>
        <w:rPr>
          <w:rFonts w:ascii="Arial" w:hAnsi="Arial" w:cs="Arial"/>
          <w:b/>
          <w:bCs/>
          <w:strike/>
          <w:color w:val="222222"/>
          <w:shd w:val="clear" w:color="auto" w:fill="FFFFFF"/>
        </w:rPr>
        <w:t>package options</w:t>
      </w:r>
      <w:r>
        <w:rPr>
          <w:rFonts w:ascii="Arial" w:hAnsi="Arial" w:cs="Arial"/>
          <w:b/>
          <w:bCs/>
          <w:color w:val="222222"/>
          <w:shd w:val="clear" w:color="auto" w:fill="FFFFFF"/>
        </w:rPr>
        <w:t>. </w:t>
      </w:r>
      <w:r>
        <w:rPr>
          <w:rFonts w:ascii="Arial" w:hAnsi="Arial" w:cs="Arial"/>
          <w:color w:val="0070C0"/>
          <w:u w:val="single"/>
          <w:shd w:val="clear" w:color="auto" w:fill="FFFFFF"/>
        </w:rPr>
        <w:t>Two of the </w:t>
      </w:r>
      <w:proofErr w:type="spellStart"/>
      <w:r>
        <w:rPr>
          <w:rFonts w:ascii="Arial" w:hAnsi="Arial" w:cs="Arial"/>
          <w:strike/>
          <w:color w:val="0070C0"/>
          <w:u w:val="single"/>
          <w:shd w:val="clear" w:color="auto" w:fill="FFFFFF"/>
        </w:rPr>
        <w:t>Aa</w:t>
      </w:r>
      <w:r>
        <w:rPr>
          <w:rFonts w:ascii="Arial" w:hAnsi="Arial" w:cs="Arial"/>
          <w:color w:val="222222"/>
          <w:shd w:val="clear" w:color="auto" w:fill="FFFFFF"/>
        </w:rPr>
        <w:t>dditional</w:t>
      </w:r>
      <w:proofErr w:type="spellEnd"/>
      <w:r>
        <w:rPr>
          <w:rFonts w:ascii="Arial" w:hAnsi="Arial" w:cs="Arial"/>
          <w:color w:val="222222"/>
          <w:shd w:val="clear" w:color="auto" w:fill="FFFFFF"/>
        </w:rPr>
        <w:t xml:space="preserve"> efficiency</w:t>
      </w:r>
      <w:r>
        <w:rPr>
          <w:rFonts w:ascii="Arial" w:hAnsi="Arial" w:cs="Arial"/>
          <w:strike/>
          <w:color w:val="222222"/>
          <w:shd w:val="clear" w:color="auto" w:fill="FFFFFF"/>
        </w:rPr>
        <w:t> package options for compliance with Section R401.2.1 are set forth in Sections R408.2.1 through R408.2.5. </w:t>
      </w:r>
      <w:r>
        <w:rPr>
          <w:rFonts w:ascii="Arial" w:hAnsi="Arial" w:cs="Arial"/>
          <w:color w:val="222222"/>
          <w:u w:val="single"/>
          <w:shd w:val="clear" w:color="auto" w:fill="FFFFFF"/>
        </w:rPr>
        <w:t>measures shall be selected from Table R408.2 that meet or exceed </w:t>
      </w:r>
      <w:r>
        <w:rPr>
          <w:rFonts w:ascii="Arial" w:hAnsi="Arial" w:cs="Arial"/>
          <w:color w:val="222222"/>
          <w:u w:val="single"/>
          <w:shd w:val="clear" w:color="auto" w:fill="00FFFF"/>
        </w:rPr>
        <w:t>the total of thirteen credits in climate zones 4 and 5 or the total of </w:t>
      </w:r>
      <w:r>
        <w:rPr>
          <w:rFonts w:ascii="Arial" w:hAnsi="Arial" w:cs="Arial"/>
          <w:color w:val="222222"/>
          <w:u w:val="single"/>
          <w:shd w:val="clear" w:color="auto" w:fill="FFFFFF"/>
        </w:rPr>
        <w:t>ten credits </w:t>
      </w:r>
      <w:r>
        <w:rPr>
          <w:rFonts w:ascii="Arial" w:hAnsi="Arial" w:cs="Arial"/>
          <w:color w:val="222222"/>
          <w:u w:val="single"/>
          <w:shd w:val="clear" w:color="auto" w:fill="00FFFF"/>
        </w:rPr>
        <w:t>in other climate zones.</w:t>
      </w:r>
      <w:r>
        <w:rPr>
          <w:rFonts w:ascii="Arial" w:hAnsi="Arial" w:cs="Arial"/>
          <w:color w:val="222222"/>
          <w:u w:val="single"/>
          <w:shd w:val="clear" w:color="auto" w:fill="FFFFFF"/>
        </w:rPr>
        <w:t> Each measure selected shall meet the relevant subsections of Section R408 and receive credit as indicated in the Table for the specific Climate Zone. Interpolation of credits between measures shall not be permitted.</w:t>
      </w:r>
    </w:p>
    <w:sectPr w:rsidR="00D27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3B"/>
    <w:rsid w:val="00096C46"/>
    <w:rsid w:val="00134C86"/>
    <w:rsid w:val="009F51BA"/>
    <w:rsid w:val="00C45DD4"/>
    <w:rsid w:val="00CD2A3B"/>
    <w:rsid w:val="00D27D69"/>
    <w:rsid w:val="00EF4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DA8F"/>
  <w15:chartTrackingRefBased/>
  <w15:docId w15:val="{05B817B0-3E30-E844-A190-DB3056BC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Hickman</dc:creator>
  <cp:keywords/>
  <dc:description/>
  <cp:lastModifiedBy>Thom Marston</cp:lastModifiedBy>
  <cp:revision>4</cp:revision>
  <dcterms:created xsi:type="dcterms:W3CDTF">2022-05-18T17:33:00Z</dcterms:created>
  <dcterms:modified xsi:type="dcterms:W3CDTF">2022-06-01T21:51:00Z</dcterms:modified>
</cp:coreProperties>
</file>