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B946" w14:textId="5A7FA2C7" w:rsidR="006B402E" w:rsidRPr="00E278FD" w:rsidRDefault="006B402E" w:rsidP="00E278FD">
      <w:pPr>
        <w:rPr>
          <w:b/>
          <w:bCs/>
          <w:color w:val="FF0000"/>
          <w:sz w:val="32"/>
          <w:szCs w:val="32"/>
          <w:highlight w:val="yellow"/>
        </w:rPr>
      </w:pPr>
      <w:r w:rsidRPr="00E278FD">
        <w:rPr>
          <w:b/>
          <w:bCs/>
          <w:color w:val="FF0000"/>
          <w:sz w:val="32"/>
          <w:szCs w:val="32"/>
          <w:highlight w:val="yellow"/>
        </w:rPr>
        <w:t>REPI-20</w:t>
      </w:r>
      <w:r w:rsidR="00E278FD">
        <w:rPr>
          <w:b/>
          <w:bCs/>
          <w:color w:val="FF0000"/>
          <w:sz w:val="32"/>
          <w:szCs w:val="32"/>
          <w:highlight w:val="yellow"/>
        </w:rPr>
        <w:t>-21:</w:t>
      </w:r>
      <w:r w:rsidRPr="00E278FD">
        <w:rPr>
          <w:b/>
          <w:bCs/>
          <w:color w:val="FF0000"/>
          <w:sz w:val="32"/>
          <w:szCs w:val="32"/>
          <w:highlight w:val="yellow"/>
        </w:rPr>
        <w:t xml:space="preserve"> April 27, </w:t>
      </w:r>
      <w:proofErr w:type="gramStart"/>
      <w:r w:rsidRPr="00E278FD">
        <w:rPr>
          <w:b/>
          <w:bCs/>
          <w:color w:val="FF0000"/>
          <w:sz w:val="32"/>
          <w:szCs w:val="32"/>
          <w:highlight w:val="yellow"/>
        </w:rPr>
        <w:t>2022</w:t>
      </w:r>
      <w:proofErr w:type="gramEnd"/>
      <w:r w:rsidR="00E278FD">
        <w:rPr>
          <w:b/>
          <w:bCs/>
          <w:color w:val="FF0000"/>
          <w:sz w:val="32"/>
          <w:szCs w:val="32"/>
          <w:highlight w:val="yellow"/>
        </w:rPr>
        <w:t xml:space="preserve"> </w:t>
      </w:r>
      <w:r w:rsidR="00E278FD" w:rsidRPr="00E278FD">
        <w:rPr>
          <w:b/>
          <w:bCs/>
          <w:color w:val="FF0000"/>
          <w:sz w:val="32"/>
          <w:szCs w:val="32"/>
          <w:highlight w:val="yellow"/>
        </w:rPr>
        <w:t>modification</w:t>
      </w:r>
    </w:p>
    <w:p w14:paraId="6A781094" w14:textId="7F1693AE" w:rsidR="006B792B" w:rsidRPr="006B402E" w:rsidRDefault="006B792B" w:rsidP="006B792B">
      <w:pPr>
        <w:jc w:val="center"/>
        <w:rPr>
          <w:b/>
          <w:bCs/>
          <w:color w:val="FF0000"/>
          <w:sz w:val="32"/>
          <w:szCs w:val="32"/>
        </w:rPr>
      </w:pPr>
      <w:r w:rsidRPr="006B402E">
        <w:rPr>
          <w:b/>
          <w:bCs/>
          <w:color w:val="FF0000"/>
          <w:sz w:val="32"/>
          <w:szCs w:val="32"/>
          <w:highlight w:val="yellow"/>
        </w:rPr>
        <w:t xml:space="preserve">Change #1: Add to R408 </w:t>
      </w:r>
      <w:r w:rsidRPr="006B402E">
        <w:rPr>
          <w:b/>
          <w:bCs/>
          <w:sz w:val="32"/>
          <w:szCs w:val="32"/>
          <w:highlight w:val="yellow"/>
        </w:rPr>
        <w:t>(</w:t>
      </w:r>
      <w:r w:rsidR="00E278FD" w:rsidRPr="00E278FD">
        <w:rPr>
          <w:b/>
          <w:bCs/>
          <w:sz w:val="32"/>
          <w:szCs w:val="32"/>
          <w:highlight w:val="yellow"/>
        </w:rPr>
        <w:t xml:space="preserve">assumes </w:t>
      </w:r>
      <w:r w:rsidR="00E278FD">
        <w:rPr>
          <w:b/>
          <w:bCs/>
          <w:sz w:val="32"/>
          <w:szCs w:val="32"/>
          <w:highlight w:val="yellow"/>
        </w:rPr>
        <w:t xml:space="preserve">approval of </w:t>
      </w:r>
      <w:r w:rsidRPr="006B402E">
        <w:rPr>
          <w:b/>
          <w:bCs/>
          <w:sz w:val="32"/>
          <w:szCs w:val="32"/>
          <w:highlight w:val="yellow"/>
        </w:rPr>
        <w:t>REPI-18 AM)</w:t>
      </w:r>
      <w:r w:rsidRPr="006B402E">
        <w:rPr>
          <w:b/>
          <w:bCs/>
          <w:sz w:val="32"/>
          <w:szCs w:val="32"/>
        </w:rPr>
        <w:t xml:space="preserve"> </w:t>
      </w:r>
    </w:p>
    <w:p w14:paraId="45B8FFF6" w14:textId="4A1BB2EC" w:rsidR="00E30E23" w:rsidRDefault="00E30E23" w:rsidP="00E30E23">
      <w:pPr>
        <w:rPr>
          <w:u w:val="single"/>
        </w:rPr>
      </w:pPr>
      <w:r>
        <w:rPr>
          <w:b/>
          <w:bCs/>
        </w:rPr>
        <w:t xml:space="preserve">R408.2 </w:t>
      </w:r>
      <w:r>
        <w:rPr>
          <w:b/>
          <w:bCs/>
          <w:u w:val="single"/>
        </w:rPr>
        <w:t>A</w:t>
      </w:r>
      <w:r>
        <w:rPr>
          <w:b/>
          <w:bCs/>
        </w:rPr>
        <w:t xml:space="preserve">dditional efficiency </w:t>
      </w:r>
      <w:r>
        <w:rPr>
          <w:b/>
          <w:bCs/>
          <w:u w:val="single"/>
        </w:rPr>
        <w:t xml:space="preserve">credits </w:t>
      </w:r>
      <w:r>
        <w:rPr>
          <w:b/>
          <w:bCs/>
          <w:strike/>
        </w:rPr>
        <w:t>package options</w:t>
      </w:r>
      <w:r>
        <w:rPr>
          <w:b/>
          <w:bCs/>
        </w:rPr>
        <w:t xml:space="preserve">. </w:t>
      </w:r>
      <w:r>
        <w:t>Additional efficiency</w:t>
      </w:r>
      <w:r>
        <w:rPr>
          <w:strike/>
        </w:rPr>
        <w:t xml:space="preserve"> package options for compliance with Section R401.2.1 are set forth in Sections R408.2.1 through R408.2.5. </w:t>
      </w:r>
      <w:r>
        <w:rPr>
          <w:u w:val="single"/>
        </w:rPr>
        <w:t>measures shall be selected from Table R408.2 that meet or exceed ten credits</w:t>
      </w:r>
      <w:r w:rsidRPr="006B792B">
        <w:rPr>
          <w:color w:val="FF0000"/>
          <w:u w:val="single"/>
        </w:rPr>
        <w:t xml:space="preserve">, and </w:t>
      </w:r>
      <w:commentRangeStart w:id="0"/>
      <w:r w:rsidRPr="006B792B">
        <w:rPr>
          <w:color w:val="FF0000"/>
          <w:u w:val="single"/>
        </w:rPr>
        <w:t xml:space="preserve">five additional credits </w:t>
      </w:r>
      <w:commentRangeEnd w:id="0"/>
      <w:r w:rsidR="00E278FD">
        <w:rPr>
          <w:rStyle w:val="CommentReference"/>
        </w:rPr>
        <w:commentReference w:id="0"/>
      </w:r>
      <w:r w:rsidRPr="006B792B">
        <w:rPr>
          <w:color w:val="FF0000"/>
          <w:u w:val="single"/>
        </w:rPr>
        <w:t>shall be selected for buildings with greater than 5,000 square feet (465 m</w:t>
      </w:r>
      <w:r w:rsidRPr="006B792B">
        <w:rPr>
          <w:color w:val="FF0000"/>
          <w:u w:val="single"/>
          <w:vertAlign w:val="superscript"/>
        </w:rPr>
        <w:t>2</w:t>
      </w:r>
      <w:r w:rsidRPr="006B792B">
        <w:rPr>
          <w:color w:val="FF0000"/>
          <w:u w:val="single"/>
        </w:rPr>
        <w:t xml:space="preserve">) of </w:t>
      </w:r>
      <w:r w:rsidRPr="006B792B">
        <w:rPr>
          <w:i/>
          <w:iCs/>
          <w:color w:val="FF0000"/>
          <w:u w:val="single"/>
        </w:rPr>
        <w:t>conditioned floor area</w:t>
      </w:r>
      <w:r>
        <w:rPr>
          <w:u w:val="single"/>
        </w:rPr>
        <w:t>. Each measure selected shall meet the relevant subsections of Section R408 and receive credit as indicated in the Table for the specific Climate Zone. Interpolation of credits between measures shall not be permitted.</w:t>
      </w:r>
    </w:p>
    <w:p w14:paraId="0DC73CEF" w14:textId="77777777" w:rsidR="00E30E23" w:rsidRDefault="00E30E23" w:rsidP="006B792B">
      <w:pPr>
        <w:rPr>
          <w:b/>
          <w:bCs/>
        </w:rPr>
      </w:pPr>
    </w:p>
    <w:p w14:paraId="4C32CC1E" w14:textId="4B66F53C" w:rsidR="006B792B" w:rsidRPr="006B402E" w:rsidRDefault="006B792B" w:rsidP="006B792B">
      <w:pPr>
        <w:jc w:val="center"/>
        <w:rPr>
          <w:b/>
          <w:bCs/>
          <w:color w:val="FF0000"/>
          <w:sz w:val="32"/>
          <w:szCs w:val="32"/>
        </w:rPr>
      </w:pPr>
      <w:r w:rsidRPr="006B402E">
        <w:rPr>
          <w:b/>
          <w:bCs/>
          <w:color w:val="FF0000"/>
          <w:sz w:val="32"/>
          <w:szCs w:val="32"/>
          <w:highlight w:val="yellow"/>
        </w:rPr>
        <w:t>Change #2: Add to R406</w:t>
      </w:r>
      <w:r w:rsidR="00E30E23" w:rsidRPr="006B402E">
        <w:rPr>
          <w:b/>
          <w:bCs/>
          <w:color w:val="FF0000"/>
          <w:sz w:val="32"/>
          <w:szCs w:val="32"/>
          <w:highlight w:val="yellow"/>
        </w:rPr>
        <w:t xml:space="preserve"> </w:t>
      </w:r>
      <w:r w:rsidR="00E30E23" w:rsidRPr="006B402E">
        <w:rPr>
          <w:b/>
          <w:bCs/>
          <w:sz w:val="32"/>
          <w:szCs w:val="32"/>
          <w:highlight w:val="yellow"/>
        </w:rPr>
        <w:t>(</w:t>
      </w:r>
      <w:r w:rsidR="00E278FD" w:rsidRPr="00E278FD">
        <w:rPr>
          <w:b/>
          <w:bCs/>
          <w:sz w:val="32"/>
          <w:szCs w:val="32"/>
          <w:highlight w:val="yellow"/>
        </w:rPr>
        <w:t>assumes</w:t>
      </w:r>
      <w:r w:rsidR="00E30E23" w:rsidRPr="006B402E">
        <w:rPr>
          <w:b/>
          <w:bCs/>
          <w:sz w:val="32"/>
          <w:szCs w:val="32"/>
          <w:highlight w:val="yellow"/>
        </w:rPr>
        <w:t xml:space="preserve"> </w:t>
      </w:r>
      <w:r w:rsidR="00E278FD">
        <w:rPr>
          <w:b/>
          <w:bCs/>
          <w:sz w:val="32"/>
          <w:szCs w:val="32"/>
          <w:highlight w:val="yellow"/>
        </w:rPr>
        <w:t xml:space="preserve">approval of </w:t>
      </w:r>
      <w:r w:rsidR="00E30E23" w:rsidRPr="006B402E">
        <w:rPr>
          <w:b/>
          <w:bCs/>
          <w:sz w:val="32"/>
          <w:szCs w:val="32"/>
          <w:highlight w:val="yellow"/>
        </w:rPr>
        <w:t>REPI-126 AM)</w:t>
      </w:r>
      <w:r w:rsidRPr="006B402E">
        <w:rPr>
          <w:b/>
          <w:bCs/>
          <w:sz w:val="32"/>
          <w:szCs w:val="32"/>
        </w:rPr>
        <w:t xml:space="preserve"> </w:t>
      </w:r>
    </w:p>
    <w:p w14:paraId="2EC11EDB" w14:textId="77777777" w:rsidR="006B792B" w:rsidRDefault="006B792B" w:rsidP="006B792B">
      <w:pPr>
        <w:rPr>
          <w:b/>
          <w:bCs/>
        </w:rPr>
      </w:pPr>
      <w:r>
        <w:rPr>
          <w:b/>
          <w:bCs/>
        </w:rPr>
        <w:t xml:space="preserve">TABLE </w:t>
      </w:r>
      <w:r w:rsidRPr="00D52501">
        <w:rPr>
          <w:b/>
          <w:bCs/>
        </w:rPr>
        <w:t xml:space="preserve">R406.5 </w:t>
      </w:r>
      <w:r>
        <w:rPr>
          <w:b/>
          <w:bCs/>
        </w:rPr>
        <w:t>MAXIMUM ENERGY RATING INDEX</w:t>
      </w:r>
    </w:p>
    <w:tbl>
      <w:tblPr>
        <w:tblStyle w:val="TableGrid"/>
        <w:tblW w:w="0" w:type="auto"/>
        <w:tblLook w:val="04A0" w:firstRow="1" w:lastRow="0" w:firstColumn="1" w:lastColumn="0" w:noHBand="0" w:noVBand="1"/>
      </w:tblPr>
      <w:tblGrid>
        <w:gridCol w:w="1026"/>
        <w:gridCol w:w="2209"/>
        <w:gridCol w:w="2070"/>
        <w:gridCol w:w="1980"/>
        <w:gridCol w:w="2065"/>
      </w:tblGrid>
      <w:tr w:rsidR="00E30E23" w:rsidRPr="00C05770" w14:paraId="56EA4E3B" w14:textId="617B47E0" w:rsidTr="00E30E23">
        <w:tc>
          <w:tcPr>
            <w:tcW w:w="1026" w:type="dxa"/>
            <w:vMerge w:val="restart"/>
          </w:tcPr>
          <w:p w14:paraId="24B8AA17" w14:textId="14694D28" w:rsidR="00E30E23" w:rsidRPr="00E30E23" w:rsidRDefault="00E30E23" w:rsidP="00BA64B7">
            <w:pPr>
              <w:rPr>
                <w:b/>
                <w:bCs/>
              </w:rPr>
            </w:pPr>
            <w:r w:rsidRPr="00E30E23">
              <w:rPr>
                <w:b/>
                <w:bCs/>
              </w:rPr>
              <w:t>CLIMATE ZONE</w:t>
            </w:r>
          </w:p>
        </w:tc>
        <w:tc>
          <w:tcPr>
            <w:tcW w:w="4279" w:type="dxa"/>
            <w:gridSpan w:val="2"/>
          </w:tcPr>
          <w:p w14:paraId="51662C51" w14:textId="14C3D2E7" w:rsidR="00E30E23" w:rsidRPr="00E30E23" w:rsidRDefault="00E30E23" w:rsidP="00BA64B7">
            <w:pPr>
              <w:jc w:val="center"/>
              <w:rPr>
                <w:b/>
                <w:bCs/>
                <w:color w:val="FF0000"/>
                <w:u w:val="single"/>
              </w:rPr>
            </w:pPr>
            <w:r w:rsidRPr="00E30E23">
              <w:rPr>
                <w:b/>
                <w:bCs/>
                <w:u w:val="single"/>
              </w:rPr>
              <w:t>ENERGY RATING INDEX NOT INCLUDING OPP</w:t>
            </w:r>
          </w:p>
        </w:tc>
        <w:tc>
          <w:tcPr>
            <w:tcW w:w="4045" w:type="dxa"/>
            <w:gridSpan w:val="2"/>
          </w:tcPr>
          <w:p w14:paraId="51814AE5" w14:textId="6AB45900" w:rsidR="00E30E23" w:rsidRPr="00E30E23" w:rsidRDefault="00E30E23" w:rsidP="00BA64B7">
            <w:pPr>
              <w:jc w:val="center"/>
              <w:rPr>
                <w:b/>
                <w:bCs/>
                <w:u w:val="single"/>
              </w:rPr>
            </w:pPr>
            <w:r w:rsidRPr="00E30E23">
              <w:rPr>
                <w:b/>
                <w:bCs/>
                <w:u w:val="single"/>
              </w:rPr>
              <w:t xml:space="preserve">ENERGY RATING INDEX INCLUDING OPP </w:t>
            </w:r>
          </w:p>
        </w:tc>
      </w:tr>
      <w:tr w:rsidR="00E30E23" w:rsidRPr="00C05770" w14:paraId="055E1D8A" w14:textId="77777777" w:rsidTr="00E30E23">
        <w:tc>
          <w:tcPr>
            <w:tcW w:w="1026" w:type="dxa"/>
            <w:vMerge/>
          </w:tcPr>
          <w:p w14:paraId="2B316EC7" w14:textId="77777777" w:rsidR="00E30E23" w:rsidRPr="00E30E23" w:rsidRDefault="00E30E23" w:rsidP="00E30E23"/>
        </w:tc>
        <w:tc>
          <w:tcPr>
            <w:tcW w:w="2209" w:type="dxa"/>
          </w:tcPr>
          <w:p w14:paraId="22739FE3" w14:textId="4E849740" w:rsidR="00E30E23" w:rsidRPr="00E30E23" w:rsidRDefault="00E30E23" w:rsidP="00E30E23">
            <w:pPr>
              <w:rPr>
                <w:strike/>
                <w:color w:val="FF0000"/>
              </w:rPr>
            </w:pPr>
            <w:r w:rsidRPr="00E30E23">
              <w:rPr>
                <w:b/>
                <w:bCs/>
                <w:i/>
                <w:iCs/>
                <w:color w:val="FF0000"/>
                <w:u w:val="single"/>
              </w:rPr>
              <w:t>conditioned floor area</w:t>
            </w:r>
            <w:r w:rsidRPr="00E30E23">
              <w:rPr>
                <w:b/>
                <w:bCs/>
                <w:color w:val="FF0000"/>
                <w:u w:val="single"/>
              </w:rPr>
              <w:t xml:space="preserve"> </w:t>
            </w:r>
            <w:r w:rsidRPr="00E30E23">
              <w:rPr>
                <w:rFonts w:cstheme="minorHAnsi"/>
                <w:b/>
                <w:bCs/>
                <w:color w:val="FF0000"/>
                <w:u w:val="single"/>
              </w:rPr>
              <w:t xml:space="preserve">≤ </w:t>
            </w:r>
            <w:r w:rsidRPr="00E30E23">
              <w:rPr>
                <w:b/>
                <w:bCs/>
                <w:color w:val="FF0000"/>
                <w:u w:val="single"/>
              </w:rPr>
              <w:t>5,000 sq. ft.</w:t>
            </w:r>
          </w:p>
        </w:tc>
        <w:tc>
          <w:tcPr>
            <w:tcW w:w="2070" w:type="dxa"/>
          </w:tcPr>
          <w:p w14:paraId="48C987E7" w14:textId="4FAB3F80" w:rsidR="00E30E23" w:rsidRPr="00E30E23" w:rsidRDefault="00E30E23" w:rsidP="00E30E23">
            <w:pPr>
              <w:rPr>
                <w:color w:val="FF0000"/>
                <w:u w:val="single"/>
              </w:rPr>
            </w:pPr>
            <w:commentRangeStart w:id="1"/>
            <w:r w:rsidRPr="00E30E23">
              <w:rPr>
                <w:b/>
                <w:bCs/>
                <w:i/>
                <w:iCs/>
                <w:color w:val="FF0000"/>
                <w:u w:val="single"/>
              </w:rPr>
              <w:t>conditioned floor area</w:t>
            </w:r>
            <w:r w:rsidRPr="00E30E23">
              <w:rPr>
                <w:b/>
                <w:bCs/>
                <w:color w:val="FF0000"/>
                <w:u w:val="single"/>
              </w:rPr>
              <w:t xml:space="preserve"> &gt;</w:t>
            </w:r>
            <w:r w:rsidRPr="00E30E23">
              <w:rPr>
                <w:rFonts w:cstheme="minorHAnsi"/>
                <w:b/>
                <w:bCs/>
                <w:color w:val="FF0000"/>
                <w:u w:val="single"/>
              </w:rPr>
              <w:t xml:space="preserve"> </w:t>
            </w:r>
            <w:r w:rsidRPr="00E30E23">
              <w:rPr>
                <w:b/>
                <w:bCs/>
                <w:color w:val="FF0000"/>
                <w:u w:val="single"/>
              </w:rPr>
              <w:t>5,000 sq. ft.</w:t>
            </w:r>
            <w:commentRangeEnd w:id="1"/>
            <w:r w:rsidR="00E278FD">
              <w:rPr>
                <w:rStyle w:val="CommentReference"/>
              </w:rPr>
              <w:commentReference w:id="1"/>
            </w:r>
          </w:p>
        </w:tc>
        <w:tc>
          <w:tcPr>
            <w:tcW w:w="1980" w:type="dxa"/>
          </w:tcPr>
          <w:p w14:paraId="766F8AD9" w14:textId="3B015CD2" w:rsidR="00E30E23" w:rsidRPr="00E30E23" w:rsidRDefault="00E30E23" w:rsidP="00E30E23">
            <w:pPr>
              <w:rPr>
                <w:color w:val="FF0000"/>
                <w:u w:val="single"/>
              </w:rPr>
            </w:pPr>
            <w:r w:rsidRPr="00E30E23">
              <w:rPr>
                <w:b/>
                <w:bCs/>
                <w:i/>
                <w:iCs/>
                <w:color w:val="FF0000"/>
                <w:u w:val="single"/>
              </w:rPr>
              <w:t>conditioned floor area</w:t>
            </w:r>
            <w:r w:rsidRPr="00E30E23">
              <w:rPr>
                <w:b/>
                <w:bCs/>
                <w:color w:val="FF0000"/>
                <w:u w:val="single"/>
              </w:rPr>
              <w:t xml:space="preserve"> </w:t>
            </w:r>
            <w:r w:rsidRPr="00E30E23">
              <w:rPr>
                <w:rFonts w:cstheme="minorHAnsi"/>
                <w:b/>
                <w:bCs/>
                <w:color w:val="FF0000"/>
                <w:u w:val="single"/>
              </w:rPr>
              <w:t xml:space="preserve">≤ </w:t>
            </w:r>
            <w:r w:rsidRPr="00E30E23">
              <w:rPr>
                <w:b/>
                <w:bCs/>
                <w:color w:val="FF0000"/>
                <w:u w:val="single"/>
              </w:rPr>
              <w:t>5,000 sq. ft.</w:t>
            </w:r>
          </w:p>
        </w:tc>
        <w:tc>
          <w:tcPr>
            <w:tcW w:w="2065" w:type="dxa"/>
          </w:tcPr>
          <w:p w14:paraId="302E902F" w14:textId="3E52C074" w:rsidR="00E30E23" w:rsidRPr="00E30E23" w:rsidRDefault="00E30E23" w:rsidP="00E30E23">
            <w:pPr>
              <w:rPr>
                <w:color w:val="FF0000"/>
                <w:u w:val="single"/>
              </w:rPr>
            </w:pPr>
            <w:commentRangeStart w:id="2"/>
            <w:r w:rsidRPr="00E30E23">
              <w:rPr>
                <w:b/>
                <w:bCs/>
                <w:i/>
                <w:iCs/>
                <w:color w:val="FF0000"/>
                <w:u w:val="single"/>
              </w:rPr>
              <w:t>conditioned floor area</w:t>
            </w:r>
            <w:r w:rsidRPr="00E30E23">
              <w:rPr>
                <w:b/>
                <w:bCs/>
                <w:color w:val="FF0000"/>
                <w:u w:val="single"/>
              </w:rPr>
              <w:t xml:space="preserve"> &gt;</w:t>
            </w:r>
            <w:r w:rsidRPr="00E30E23">
              <w:rPr>
                <w:rFonts w:cstheme="minorHAnsi"/>
                <w:b/>
                <w:bCs/>
                <w:color w:val="FF0000"/>
                <w:u w:val="single"/>
              </w:rPr>
              <w:t xml:space="preserve"> </w:t>
            </w:r>
            <w:r w:rsidRPr="00E30E23">
              <w:rPr>
                <w:b/>
                <w:bCs/>
                <w:color w:val="FF0000"/>
                <w:u w:val="single"/>
              </w:rPr>
              <w:t>5,000 sq. ft.</w:t>
            </w:r>
            <w:commentRangeEnd w:id="2"/>
            <w:r w:rsidR="00885082">
              <w:rPr>
                <w:rStyle w:val="CommentReference"/>
              </w:rPr>
              <w:commentReference w:id="2"/>
            </w:r>
          </w:p>
        </w:tc>
      </w:tr>
      <w:tr w:rsidR="00E30E23" w:rsidRPr="00C05770" w14:paraId="6C19E32C" w14:textId="682309F5" w:rsidTr="00E30E23">
        <w:tc>
          <w:tcPr>
            <w:tcW w:w="1026" w:type="dxa"/>
          </w:tcPr>
          <w:p w14:paraId="75C80E76" w14:textId="77777777" w:rsidR="00E30E23" w:rsidRPr="00E30E23" w:rsidRDefault="00E30E23" w:rsidP="00E30E23">
            <w:r w:rsidRPr="00E30E23">
              <w:t>0-1</w:t>
            </w:r>
          </w:p>
        </w:tc>
        <w:tc>
          <w:tcPr>
            <w:tcW w:w="2209" w:type="dxa"/>
          </w:tcPr>
          <w:p w14:paraId="16DFCDB0" w14:textId="4B38EA21" w:rsidR="00E30E23" w:rsidRPr="00E30E23" w:rsidRDefault="00E30E23" w:rsidP="00E30E23">
            <w:pPr>
              <w:rPr>
                <w:strike/>
              </w:rPr>
            </w:pPr>
            <w:r w:rsidRPr="00E30E23">
              <w:rPr>
                <w:strike/>
              </w:rPr>
              <w:t>52</w:t>
            </w:r>
            <w:r w:rsidRPr="00E30E23">
              <w:rPr>
                <w:u w:val="single"/>
              </w:rPr>
              <w:t>51</w:t>
            </w:r>
          </w:p>
        </w:tc>
        <w:tc>
          <w:tcPr>
            <w:tcW w:w="2070" w:type="dxa"/>
          </w:tcPr>
          <w:p w14:paraId="55E8E64E" w14:textId="051DFAC9" w:rsidR="00E30E23" w:rsidRPr="00E30E23" w:rsidRDefault="00E30E23" w:rsidP="00E30E23">
            <w:pPr>
              <w:rPr>
                <w:color w:val="FF0000"/>
                <w:u w:val="single"/>
              </w:rPr>
            </w:pPr>
            <w:r>
              <w:rPr>
                <w:color w:val="FF0000"/>
                <w:u w:val="single"/>
              </w:rPr>
              <w:t>48</w:t>
            </w:r>
          </w:p>
        </w:tc>
        <w:tc>
          <w:tcPr>
            <w:tcW w:w="1980" w:type="dxa"/>
          </w:tcPr>
          <w:p w14:paraId="22E2A67E" w14:textId="57BF0327" w:rsidR="00E30E23" w:rsidRPr="00E30E23" w:rsidRDefault="00E30E23" w:rsidP="00E30E23">
            <w:pPr>
              <w:rPr>
                <w:u w:val="single"/>
              </w:rPr>
            </w:pPr>
            <w:r w:rsidRPr="00E30E23">
              <w:rPr>
                <w:u w:val="single"/>
              </w:rPr>
              <w:t>40</w:t>
            </w:r>
          </w:p>
        </w:tc>
        <w:tc>
          <w:tcPr>
            <w:tcW w:w="2065" w:type="dxa"/>
          </w:tcPr>
          <w:p w14:paraId="2341E2E2" w14:textId="4DF54431" w:rsidR="00E30E23" w:rsidRPr="00E30E23" w:rsidRDefault="00E30E23" w:rsidP="00E30E23">
            <w:pPr>
              <w:rPr>
                <w:color w:val="FF0000"/>
                <w:u w:val="single"/>
              </w:rPr>
            </w:pPr>
            <w:r>
              <w:rPr>
                <w:color w:val="FF0000"/>
                <w:u w:val="single"/>
              </w:rPr>
              <w:t>38</w:t>
            </w:r>
          </w:p>
        </w:tc>
      </w:tr>
      <w:tr w:rsidR="00E30E23" w:rsidRPr="00C05770" w14:paraId="3B8B2878" w14:textId="31A9BAA4" w:rsidTr="00E30E23">
        <w:tc>
          <w:tcPr>
            <w:tcW w:w="1026" w:type="dxa"/>
          </w:tcPr>
          <w:p w14:paraId="382D000D" w14:textId="77777777" w:rsidR="00E30E23" w:rsidRPr="00E30E23" w:rsidRDefault="00E30E23" w:rsidP="00E30E23">
            <w:r w:rsidRPr="00E30E23">
              <w:t>2</w:t>
            </w:r>
          </w:p>
        </w:tc>
        <w:tc>
          <w:tcPr>
            <w:tcW w:w="2209" w:type="dxa"/>
          </w:tcPr>
          <w:p w14:paraId="3167D04F" w14:textId="4B2A8064" w:rsidR="00E30E23" w:rsidRPr="00E30E23" w:rsidRDefault="00E30E23" w:rsidP="00E30E23">
            <w:pPr>
              <w:rPr>
                <w:strike/>
              </w:rPr>
            </w:pPr>
            <w:r w:rsidRPr="00E30E23">
              <w:rPr>
                <w:strike/>
              </w:rPr>
              <w:t>52</w:t>
            </w:r>
            <w:r w:rsidRPr="00E30E23">
              <w:rPr>
                <w:u w:val="single"/>
              </w:rPr>
              <w:t>51</w:t>
            </w:r>
          </w:p>
        </w:tc>
        <w:tc>
          <w:tcPr>
            <w:tcW w:w="2070" w:type="dxa"/>
          </w:tcPr>
          <w:p w14:paraId="160A94B2" w14:textId="7E158EEA" w:rsidR="00E30E23" w:rsidRPr="00E30E23" w:rsidRDefault="00E30E23" w:rsidP="00E30E23">
            <w:pPr>
              <w:rPr>
                <w:color w:val="FF0000"/>
                <w:u w:val="single"/>
              </w:rPr>
            </w:pPr>
            <w:r>
              <w:rPr>
                <w:color w:val="FF0000"/>
                <w:u w:val="single"/>
              </w:rPr>
              <w:t>48</w:t>
            </w:r>
          </w:p>
        </w:tc>
        <w:tc>
          <w:tcPr>
            <w:tcW w:w="1980" w:type="dxa"/>
          </w:tcPr>
          <w:p w14:paraId="76AF3B84" w14:textId="62D810D5" w:rsidR="00E30E23" w:rsidRPr="00E30E23" w:rsidRDefault="00E30E23" w:rsidP="00E30E23">
            <w:r w:rsidRPr="00E30E23">
              <w:rPr>
                <w:u w:val="single"/>
              </w:rPr>
              <w:t>40</w:t>
            </w:r>
          </w:p>
        </w:tc>
        <w:tc>
          <w:tcPr>
            <w:tcW w:w="2065" w:type="dxa"/>
          </w:tcPr>
          <w:p w14:paraId="5769E471" w14:textId="76848ADE" w:rsidR="00E30E23" w:rsidRPr="00E30E23" w:rsidRDefault="00E30E23" w:rsidP="00E30E23">
            <w:pPr>
              <w:rPr>
                <w:color w:val="FF0000"/>
                <w:u w:val="single"/>
              </w:rPr>
            </w:pPr>
            <w:r>
              <w:rPr>
                <w:color w:val="FF0000"/>
                <w:u w:val="single"/>
              </w:rPr>
              <w:t>38</w:t>
            </w:r>
          </w:p>
        </w:tc>
      </w:tr>
      <w:tr w:rsidR="00E30E23" w:rsidRPr="00C05770" w14:paraId="6954DA3B" w14:textId="146DAC1A" w:rsidTr="00E30E23">
        <w:tc>
          <w:tcPr>
            <w:tcW w:w="1026" w:type="dxa"/>
          </w:tcPr>
          <w:p w14:paraId="649C64A0" w14:textId="77777777" w:rsidR="00E30E23" w:rsidRPr="00E30E23" w:rsidRDefault="00E30E23" w:rsidP="00E30E23">
            <w:r w:rsidRPr="00E30E23">
              <w:t>3</w:t>
            </w:r>
          </w:p>
        </w:tc>
        <w:tc>
          <w:tcPr>
            <w:tcW w:w="2209" w:type="dxa"/>
          </w:tcPr>
          <w:p w14:paraId="5ECD3094" w14:textId="2D23D8B7" w:rsidR="00E30E23" w:rsidRPr="00E30E23" w:rsidRDefault="00E30E23" w:rsidP="00E30E23">
            <w:pPr>
              <w:rPr>
                <w:strike/>
              </w:rPr>
            </w:pPr>
            <w:r w:rsidRPr="00E30E23">
              <w:rPr>
                <w:strike/>
              </w:rPr>
              <w:t>51</w:t>
            </w:r>
            <w:r w:rsidRPr="00E30E23">
              <w:rPr>
                <w:u w:val="single"/>
              </w:rPr>
              <w:t>50</w:t>
            </w:r>
          </w:p>
        </w:tc>
        <w:tc>
          <w:tcPr>
            <w:tcW w:w="2070" w:type="dxa"/>
          </w:tcPr>
          <w:p w14:paraId="5D29289B" w14:textId="75E2763F" w:rsidR="00E30E23" w:rsidRPr="00E30E23" w:rsidRDefault="00E30E23" w:rsidP="00E30E23">
            <w:pPr>
              <w:rPr>
                <w:color w:val="FF0000"/>
                <w:u w:val="single"/>
              </w:rPr>
            </w:pPr>
            <w:r>
              <w:rPr>
                <w:color w:val="FF0000"/>
                <w:u w:val="single"/>
              </w:rPr>
              <w:t>47</w:t>
            </w:r>
          </w:p>
        </w:tc>
        <w:tc>
          <w:tcPr>
            <w:tcW w:w="1980" w:type="dxa"/>
          </w:tcPr>
          <w:p w14:paraId="00CD9189" w14:textId="2EF737EC" w:rsidR="00E30E23" w:rsidRPr="00E30E23" w:rsidRDefault="00E30E23" w:rsidP="00E30E23">
            <w:r w:rsidRPr="00E30E23">
              <w:rPr>
                <w:u w:val="single"/>
              </w:rPr>
              <w:t>40</w:t>
            </w:r>
          </w:p>
        </w:tc>
        <w:tc>
          <w:tcPr>
            <w:tcW w:w="2065" w:type="dxa"/>
          </w:tcPr>
          <w:p w14:paraId="4E702E3F" w14:textId="7A4D7543" w:rsidR="00E30E23" w:rsidRPr="00E30E23" w:rsidRDefault="00E30E23" w:rsidP="00E30E23">
            <w:pPr>
              <w:rPr>
                <w:color w:val="FF0000"/>
                <w:u w:val="single"/>
              </w:rPr>
            </w:pPr>
            <w:r>
              <w:rPr>
                <w:color w:val="FF0000"/>
                <w:u w:val="single"/>
              </w:rPr>
              <w:t>38</w:t>
            </w:r>
          </w:p>
        </w:tc>
      </w:tr>
      <w:tr w:rsidR="00E30E23" w:rsidRPr="00C05770" w14:paraId="68121A45" w14:textId="40AB07B2" w:rsidTr="00E30E23">
        <w:tc>
          <w:tcPr>
            <w:tcW w:w="1026" w:type="dxa"/>
          </w:tcPr>
          <w:p w14:paraId="774502BE" w14:textId="77777777" w:rsidR="00E30E23" w:rsidRPr="00E30E23" w:rsidRDefault="00E30E23" w:rsidP="00E30E23">
            <w:r w:rsidRPr="00E30E23">
              <w:t>4</w:t>
            </w:r>
          </w:p>
        </w:tc>
        <w:tc>
          <w:tcPr>
            <w:tcW w:w="2209" w:type="dxa"/>
          </w:tcPr>
          <w:p w14:paraId="2D871B40" w14:textId="59211B7F" w:rsidR="00E30E23" w:rsidRPr="00E30E23" w:rsidRDefault="00E30E23" w:rsidP="00E30E23">
            <w:pPr>
              <w:rPr>
                <w:strike/>
              </w:rPr>
            </w:pPr>
            <w:r w:rsidRPr="00E30E23">
              <w:rPr>
                <w:strike/>
              </w:rPr>
              <w:t>54</w:t>
            </w:r>
            <w:r w:rsidRPr="00E30E23">
              <w:rPr>
                <w:u w:val="single"/>
              </w:rPr>
              <w:t>53</w:t>
            </w:r>
          </w:p>
        </w:tc>
        <w:tc>
          <w:tcPr>
            <w:tcW w:w="2070" w:type="dxa"/>
          </w:tcPr>
          <w:p w14:paraId="359BC5D6" w14:textId="0CF9046D" w:rsidR="00E30E23" w:rsidRPr="00E30E23" w:rsidRDefault="00E30E23" w:rsidP="00E30E23">
            <w:pPr>
              <w:rPr>
                <w:color w:val="FF0000"/>
                <w:u w:val="single"/>
              </w:rPr>
            </w:pPr>
            <w:r>
              <w:rPr>
                <w:color w:val="FF0000"/>
                <w:u w:val="single"/>
              </w:rPr>
              <w:t>50</w:t>
            </w:r>
          </w:p>
        </w:tc>
        <w:tc>
          <w:tcPr>
            <w:tcW w:w="1980" w:type="dxa"/>
          </w:tcPr>
          <w:p w14:paraId="332D3334" w14:textId="0F07B447" w:rsidR="00E30E23" w:rsidRPr="00E30E23" w:rsidRDefault="00E30E23" w:rsidP="00E30E23">
            <w:r w:rsidRPr="00E30E23">
              <w:rPr>
                <w:u w:val="single"/>
              </w:rPr>
              <w:t>40</w:t>
            </w:r>
          </w:p>
        </w:tc>
        <w:tc>
          <w:tcPr>
            <w:tcW w:w="2065" w:type="dxa"/>
          </w:tcPr>
          <w:p w14:paraId="7C530536" w14:textId="08987E5C" w:rsidR="00E30E23" w:rsidRPr="00E30E23" w:rsidRDefault="00E30E23" w:rsidP="00E30E23">
            <w:pPr>
              <w:rPr>
                <w:color w:val="FF0000"/>
                <w:u w:val="single"/>
              </w:rPr>
            </w:pPr>
            <w:r>
              <w:rPr>
                <w:color w:val="FF0000"/>
                <w:u w:val="single"/>
              </w:rPr>
              <w:t>38</w:t>
            </w:r>
          </w:p>
        </w:tc>
      </w:tr>
      <w:tr w:rsidR="00E30E23" w:rsidRPr="00C05770" w14:paraId="3B3E3A64" w14:textId="17FBE8BF" w:rsidTr="00E30E23">
        <w:tc>
          <w:tcPr>
            <w:tcW w:w="1026" w:type="dxa"/>
          </w:tcPr>
          <w:p w14:paraId="1986B4BE" w14:textId="77777777" w:rsidR="00E30E23" w:rsidRPr="00E30E23" w:rsidRDefault="00E30E23" w:rsidP="00E30E23">
            <w:r w:rsidRPr="00E30E23">
              <w:t>5</w:t>
            </w:r>
          </w:p>
        </w:tc>
        <w:tc>
          <w:tcPr>
            <w:tcW w:w="2209" w:type="dxa"/>
          </w:tcPr>
          <w:p w14:paraId="5FD0912C" w14:textId="41AFD0B9" w:rsidR="00E30E23" w:rsidRPr="00E30E23" w:rsidRDefault="00E30E23" w:rsidP="00E30E23">
            <w:pPr>
              <w:rPr>
                <w:strike/>
              </w:rPr>
            </w:pPr>
            <w:r w:rsidRPr="00E30E23">
              <w:rPr>
                <w:strike/>
              </w:rPr>
              <w:t>55</w:t>
            </w:r>
            <w:r w:rsidRPr="00E30E23">
              <w:rPr>
                <w:u w:val="single"/>
              </w:rPr>
              <w:t>54</w:t>
            </w:r>
          </w:p>
        </w:tc>
        <w:tc>
          <w:tcPr>
            <w:tcW w:w="2070" w:type="dxa"/>
          </w:tcPr>
          <w:p w14:paraId="349FD9A2" w14:textId="2D995523" w:rsidR="00E30E23" w:rsidRPr="00E30E23" w:rsidRDefault="00E30E23" w:rsidP="00E30E23">
            <w:pPr>
              <w:rPr>
                <w:color w:val="FF0000"/>
                <w:u w:val="single"/>
              </w:rPr>
            </w:pPr>
            <w:r>
              <w:rPr>
                <w:color w:val="FF0000"/>
                <w:u w:val="single"/>
              </w:rPr>
              <w:t>51</w:t>
            </w:r>
          </w:p>
        </w:tc>
        <w:tc>
          <w:tcPr>
            <w:tcW w:w="1980" w:type="dxa"/>
          </w:tcPr>
          <w:p w14:paraId="5F5E2F02" w14:textId="34016581" w:rsidR="00E30E23" w:rsidRPr="00E30E23" w:rsidRDefault="00E30E23" w:rsidP="00E30E23">
            <w:pPr>
              <w:rPr>
                <w:u w:val="single"/>
              </w:rPr>
            </w:pPr>
            <w:r w:rsidRPr="00E30E23">
              <w:rPr>
                <w:u w:val="single"/>
              </w:rPr>
              <w:t>40</w:t>
            </w:r>
          </w:p>
        </w:tc>
        <w:tc>
          <w:tcPr>
            <w:tcW w:w="2065" w:type="dxa"/>
          </w:tcPr>
          <w:p w14:paraId="361CB23E" w14:textId="4B66412A" w:rsidR="00E30E23" w:rsidRPr="00E30E23" w:rsidRDefault="00E30E23" w:rsidP="00E30E23">
            <w:pPr>
              <w:rPr>
                <w:color w:val="FF0000"/>
                <w:u w:val="single"/>
              </w:rPr>
            </w:pPr>
            <w:r>
              <w:rPr>
                <w:color w:val="FF0000"/>
                <w:u w:val="single"/>
              </w:rPr>
              <w:t>38</w:t>
            </w:r>
          </w:p>
        </w:tc>
      </w:tr>
      <w:tr w:rsidR="00E30E23" w:rsidRPr="00C05770" w14:paraId="62D3E622" w14:textId="05EEB99C" w:rsidTr="00E30E23">
        <w:tc>
          <w:tcPr>
            <w:tcW w:w="1026" w:type="dxa"/>
          </w:tcPr>
          <w:p w14:paraId="5D52DFEC" w14:textId="77777777" w:rsidR="00E30E23" w:rsidRPr="00E30E23" w:rsidRDefault="00E30E23" w:rsidP="00E30E23">
            <w:r w:rsidRPr="00E30E23">
              <w:t>6</w:t>
            </w:r>
          </w:p>
        </w:tc>
        <w:tc>
          <w:tcPr>
            <w:tcW w:w="2209" w:type="dxa"/>
          </w:tcPr>
          <w:p w14:paraId="4F655985" w14:textId="0E6EFE0B" w:rsidR="00E30E23" w:rsidRPr="00E30E23" w:rsidRDefault="00E30E23" w:rsidP="00E30E23">
            <w:pPr>
              <w:rPr>
                <w:strike/>
              </w:rPr>
            </w:pPr>
            <w:r w:rsidRPr="00E30E23">
              <w:rPr>
                <w:strike/>
              </w:rPr>
              <w:t>54</w:t>
            </w:r>
            <w:r w:rsidRPr="00E30E23">
              <w:rPr>
                <w:u w:val="single"/>
              </w:rPr>
              <w:t>53</w:t>
            </w:r>
          </w:p>
        </w:tc>
        <w:tc>
          <w:tcPr>
            <w:tcW w:w="2070" w:type="dxa"/>
          </w:tcPr>
          <w:p w14:paraId="3687940F" w14:textId="2C2E9885" w:rsidR="00E30E23" w:rsidRPr="00E30E23" w:rsidRDefault="00E30E23" w:rsidP="00E30E23">
            <w:pPr>
              <w:rPr>
                <w:color w:val="FF0000"/>
                <w:u w:val="single"/>
              </w:rPr>
            </w:pPr>
            <w:r>
              <w:rPr>
                <w:color w:val="FF0000"/>
                <w:u w:val="single"/>
              </w:rPr>
              <w:t>50</w:t>
            </w:r>
          </w:p>
        </w:tc>
        <w:tc>
          <w:tcPr>
            <w:tcW w:w="1980" w:type="dxa"/>
          </w:tcPr>
          <w:p w14:paraId="7E2815A9" w14:textId="736CF889" w:rsidR="00E30E23" w:rsidRPr="00E30E23" w:rsidRDefault="00E30E23" w:rsidP="00E30E23">
            <w:pPr>
              <w:rPr>
                <w:u w:val="single"/>
              </w:rPr>
            </w:pPr>
            <w:r w:rsidRPr="00E30E23">
              <w:rPr>
                <w:u w:val="single"/>
              </w:rPr>
              <w:t>40</w:t>
            </w:r>
          </w:p>
        </w:tc>
        <w:tc>
          <w:tcPr>
            <w:tcW w:w="2065" w:type="dxa"/>
          </w:tcPr>
          <w:p w14:paraId="32535B48" w14:textId="2CDED056" w:rsidR="00E30E23" w:rsidRPr="00E30E23" w:rsidRDefault="00E30E23" w:rsidP="00E30E23">
            <w:pPr>
              <w:rPr>
                <w:color w:val="FF0000"/>
                <w:u w:val="single"/>
              </w:rPr>
            </w:pPr>
            <w:r>
              <w:rPr>
                <w:color w:val="FF0000"/>
                <w:u w:val="single"/>
              </w:rPr>
              <w:t>38</w:t>
            </w:r>
          </w:p>
        </w:tc>
      </w:tr>
      <w:tr w:rsidR="00E30E23" w:rsidRPr="00C05770" w14:paraId="55C4908A" w14:textId="42E1A92E" w:rsidTr="00E30E23">
        <w:tc>
          <w:tcPr>
            <w:tcW w:w="1026" w:type="dxa"/>
          </w:tcPr>
          <w:p w14:paraId="76309C5C" w14:textId="77777777" w:rsidR="00E30E23" w:rsidRPr="00E30E23" w:rsidRDefault="00E30E23" w:rsidP="00E30E23">
            <w:r w:rsidRPr="00E30E23">
              <w:t>7</w:t>
            </w:r>
          </w:p>
        </w:tc>
        <w:tc>
          <w:tcPr>
            <w:tcW w:w="2209" w:type="dxa"/>
          </w:tcPr>
          <w:p w14:paraId="41EB78D9" w14:textId="57B587F5" w:rsidR="00E30E23" w:rsidRPr="00E30E23" w:rsidRDefault="00E30E23" w:rsidP="00E30E23">
            <w:pPr>
              <w:rPr>
                <w:strike/>
              </w:rPr>
            </w:pPr>
            <w:r w:rsidRPr="00E30E23">
              <w:rPr>
                <w:strike/>
              </w:rPr>
              <w:t>53</w:t>
            </w:r>
            <w:r w:rsidRPr="00E30E23">
              <w:rPr>
                <w:u w:val="single"/>
              </w:rPr>
              <w:t>52</w:t>
            </w:r>
          </w:p>
        </w:tc>
        <w:tc>
          <w:tcPr>
            <w:tcW w:w="2070" w:type="dxa"/>
          </w:tcPr>
          <w:p w14:paraId="017737C4" w14:textId="3D001FE9" w:rsidR="00E30E23" w:rsidRPr="00E30E23" w:rsidRDefault="00E30E23" w:rsidP="00E30E23">
            <w:pPr>
              <w:rPr>
                <w:color w:val="FF0000"/>
                <w:u w:val="single"/>
              </w:rPr>
            </w:pPr>
            <w:r>
              <w:rPr>
                <w:color w:val="FF0000"/>
                <w:u w:val="single"/>
              </w:rPr>
              <w:t>49</w:t>
            </w:r>
          </w:p>
        </w:tc>
        <w:tc>
          <w:tcPr>
            <w:tcW w:w="1980" w:type="dxa"/>
          </w:tcPr>
          <w:p w14:paraId="0187E764" w14:textId="0A47D9B2" w:rsidR="00E30E23" w:rsidRPr="00E30E23" w:rsidRDefault="00E30E23" w:rsidP="00E30E23">
            <w:r w:rsidRPr="00E30E23">
              <w:rPr>
                <w:u w:val="single"/>
              </w:rPr>
              <w:t>40</w:t>
            </w:r>
          </w:p>
        </w:tc>
        <w:tc>
          <w:tcPr>
            <w:tcW w:w="2065" w:type="dxa"/>
          </w:tcPr>
          <w:p w14:paraId="66242340" w14:textId="6E4A1443" w:rsidR="00E30E23" w:rsidRPr="00E30E23" w:rsidRDefault="00E30E23" w:rsidP="00E30E23">
            <w:pPr>
              <w:rPr>
                <w:color w:val="FF0000"/>
                <w:u w:val="single"/>
              </w:rPr>
            </w:pPr>
            <w:r>
              <w:rPr>
                <w:color w:val="FF0000"/>
                <w:u w:val="single"/>
              </w:rPr>
              <w:t>38</w:t>
            </w:r>
          </w:p>
        </w:tc>
      </w:tr>
      <w:tr w:rsidR="00E30E23" w14:paraId="2CE47A78" w14:textId="13692A6A" w:rsidTr="00E30E23">
        <w:tc>
          <w:tcPr>
            <w:tcW w:w="1026" w:type="dxa"/>
          </w:tcPr>
          <w:p w14:paraId="70E9D439" w14:textId="77777777" w:rsidR="00E30E23" w:rsidRPr="00E30E23" w:rsidRDefault="00E30E23" w:rsidP="00E30E23">
            <w:r w:rsidRPr="00E30E23">
              <w:t>8</w:t>
            </w:r>
          </w:p>
        </w:tc>
        <w:tc>
          <w:tcPr>
            <w:tcW w:w="2209" w:type="dxa"/>
          </w:tcPr>
          <w:p w14:paraId="557F8F0F" w14:textId="74F3E5CA" w:rsidR="00E30E23" w:rsidRPr="00E30E23" w:rsidRDefault="00E30E23" w:rsidP="00E30E23">
            <w:pPr>
              <w:rPr>
                <w:strike/>
              </w:rPr>
            </w:pPr>
            <w:r w:rsidRPr="00E30E23">
              <w:rPr>
                <w:strike/>
              </w:rPr>
              <w:t>53</w:t>
            </w:r>
            <w:r w:rsidRPr="00E30E23">
              <w:rPr>
                <w:u w:val="single"/>
              </w:rPr>
              <w:t>52</w:t>
            </w:r>
          </w:p>
        </w:tc>
        <w:tc>
          <w:tcPr>
            <w:tcW w:w="2070" w:type="dxa"/>
          </w:tcPr>
          <w:p w14:paraId="6C255450" w14:textId="0CABAB49" w:rsidR="00E30E23" w:rsidRPr="00E30E23" w:rsidRDefault="00E30E23" w:rsidP="00E30E23">
            <w:pPr>
              <w:rPr>
                <w:color w:val="FF0000"/>
                <w:u w:val="single"/>
              </w:rPr>
            </w:pPr>
            <w:r>
              <w:rPr>
                <w:color w:val="FF0000"/>
                <w:u w:val="single"/>
              </w:rPr>
              <w:t>49</w:t>
            </w:r>
          </w:p>
        </w:tc>
        <w:tc>
          <w:tcPr>
            <w:tcW w:w="1980" w:type="dxa"/>
          </w:tcPr>
          <w:p w14:paraId="19A01223" w14:textId="55A31339" w:rsidR="00E30E23" w:rsidRPr="00E30E23" w:rsidRDefault="00E30E23" w:rsidP="00E30E23">
            <w:r w:rsidRPr="00E30E23">
              <w:rPr>
                <w:u w:val="single"/>
              </w:rPr>
              <w:t>40</w:t>
            </w:r>
          </w:p>
        </w:tc>
        <w:tc>
          <w:tcPr>
            <w:tcW w:w="2065" w:type="dxa"/>
          </w:tcPr>
          <w:p w14:paraId="448CE805" w14:textId="2AF83A50" w:rsidR="00E30E23" w:rsidRPr="00E30E23" w:rsidRDefault="00E30E23" w:rsidP="00E30E23">
            <w:pPr>
              <w:rPr>
                <w:color w:val="FF0000"/>
                <w:u w:val="single"/>
              </w:rPr>
            </w:pPr>
            <w:r>
              <w:rPr>
                <w:color w:val="FF0000"/>
                <w:u w:val="single"/>
              </w:rPr>
              <w:t>38</w:t>
            </w:r>
          </w:p>
        </w:tc>
      </w:tr>
    </w:tbl>
    <w:p w14:paraId="058AFF8B" w14:textId="77777777" w:rsidR="00E30E23" w:rsidRDefault="00E30E23" w:rsidP="00BA1AD7">
      <w:pPr>
        <w:spacing w:before="240"/>
        <w:rPr>
          <w:b/>
          <w:bCs/>
          <w:color w:val="FF0000"/>
        </w:rPr>
      </w:pPr>
    </w:p>
    <w:p w14:paraId="5FCA16EA" w14:textId="5FC74730" w:rsidR="006B792B" w:rsidRPr="006B402E" w:rsidRDefault="00E30E23" w:rsidP="00E30E23">
      <w:pPr>
        <w:jc w:val="center"/>
        <w:rPr>
          <w:b/>
          <w:bCs/>
          <w:sz w:val="32"/>
          <w:szCs w:val="32"/>
          <w:highlight w:val="yellow"/>
        </w:rPr>
      </w:pPr>
      <w:r w:rsidRPr="006B402E">
        <w:rPr>
          <w:b/>
          <w:bCs/>
          <w:color w:val="FF0000"/>
          <w:sz w:val="32"/>
          <w:szCs w:val="32"/>
          <w:highlight w:val="yellow"/>
        </w:rPr>
        <w:t xml:space="preserve">Change #3: Add to R405 </w:t>
      </w:r>
      <w:r w:rsidR="00EC221C" w:rsidRPr="006B402E">
        <w:rPr>
          <w:b/>
          <w:bCs/>
          <w:sz w:val="32"/>
          <w:szCs w:val="32"/>
          <w:highlight w:val="yellow"/>
        </w:rPr>
        <w:t>(</w:t>
      </w:r>
      <w:r w:rsidR="00E278FD">
        <w:rPr>
          <w:b/>
          <w:bCs/>
          <w:sz w:val="32"/>
          <w:szCs w:val="32"/>
          <w:highlight w:val="yellow"/>
        </w:rPr>
        <w:t xml:space="preserve">assumes </w:t>
      </w:r>
      <w:r w:rsidR="00BA1AD7" w:rsidRPr="006B402E">
        <w:rPr>
          <w:b/>
          <w:bCs/>
          <w:sz w:val="32"/>
          <w:szCs w:val="32"/>
          <w:highlight w:val="yellow"/>
        </w:rPr>
        <w:t>relocation of</w:t>
      </w:r>
      <w:r w:rsidR="00885082">
        <w:rPr>
          <w:b/>
          <w:bCs/>
          <w:sz w:val="32"/>
          <w:szCs w:val="32"/>
          <w:highlight w:val="yellow"/>
        </w:rPr>
        <w:t xml:space="preserve"> </w:t>
      </w:r>
      <w:r w:rsidR="00BA1AD7" w:rsidRPr="006B402E">
        <w:rPr>
          <w:b/>
          <w:bCs/>
          <w:sz w:val="32"/>
          <w:szCs w:val="32"/>
          <w:highlight w:val="yellow"/>
        </w:rPr>
        <w:t>R401.2.5</w:t>
      </w:r>
      <w:r w:rsidR="00032CDC" w:rsidRPr="006B402E">
        <w:rPr>
          <w:b/>
          <w:bCs/>
          <w:sz w:val="32"/>
          <w:szCs w:val="32"/>
          <w:highlight w:val="yellow"/>
        </w:rPr>
        <w:t xml:space="preserve"> </w:t>
      </w:r>
      <w:r w:rsidR="00E278FD">
        <w:rPr>
          <w:b/>
          <w:bCs/>
          <w:sz w:val="32"/>
          <w:szCs w:val="32"/>
          <w:highlight w:val="yellow"/>
        </w:rPr>
        <w:t xml:space="preserve">5% </w:t>
      </w:r>
      <w:r w:rsidR="00885082">
        <w:rPr>
          <w:b/>
          <w:bCs/>
          <w:sz w:val="32"/>
          <w:szCs w:val="32"/>
          <w:highlight w:val="yellow"/>
        </w:rPr>
        <w:t>element</w:t>
      </w:r>
      <w:r w:rsidR="00EC221C" w:rsidRPr="006B402E">
        <w:rPr>
          <w:b/>
          <w:bCs/>
          <w:sz w:val="32"/>
          <w:szCs w:val="32"/>
          <w:highlight w:val="yellow"/>
        </w:rPr>
        <w:t>)</w:t>
      </w:r>
    </w:p>
    <w:p w14:paraId="43C05E52" w14:textId="6A61D508" w:rsidR="006D0D47" w:rsidRDefault="006D0D47" w:rsidP="009A59DB">
      <w:pPr>
        <w:rPr>
          <w:b/>
          <w:bCs/>
        </w:rPr>
      </w:pPr>
      <w:r w:rsidRPr="006D0D47">
        <w:rPr>
          <w:b/>
          <w:bCs/>
        </w:rPr>
        <w:t>R405</w:t>
      </w:r>
      <w:r w:rsidR="0018565D">
        <w:rPr>
          <w:b/>
          <w:bCs/>
        </w:rPr>
        <w:t>.</w:t>
      </w:r>
      <w:r w:rsidRPr="006D0D47">
        <w:rPr>
          <w:b/>
          <w:bCs/>
        </w:rPr>
        <w:t>2 Performance</w:t>
      </w:r>
      <w:r>
        <w:rPr>
          <w:b/>
          <w:bCs/>
        </w:rPr>
        <w:t>- b</w:t>
      </w:r>
      <w:r w:rsidRPr="006D0D47">
        <w:rPr>
          <w:b/>
          <w:bCs/>
        </w:rPr>
        <w:t xml:space="preserve">ased </w:t>
      </w:r>
      <w:r>
        <w:rPr>
          <w:b/>
          <w:bCs/>
        </w:rPr>
        <w:t>c</w:t>
      </w:r>
      <w:r w:rsidRPr="006D0D47">
        <w:rPr>
          <w:b/>
          <w:bCs/>
        </w:rPr>
        <w:t>ompliance</w:t>
      </w:r>
    </w:p>
    <w:p w14:paraId="6D00EED6" w14:textId="22411BE7" w:rsidR="006D0D47" w:rsidRDefault="006D0D47" w:rsidP="00B654E3">
      <w:pPr>
        <w:spacing w:after="0"/>
      </w:pPr>
      <w:r w:rsidRPr="006D0D47">
        <w:t xml:space="preserve">Compliance </w:t>
      </w:r>
      <w:r>
        <w:t xml:space="preserve">based on total building performance requires that a </w:t>
      </w:r>
      <w:r w:rsidRPr="006D0D47">
        <w:rPr>
          <w:i/>
          <w:iCs/>
        </w:rPr>
        <w:t>proposed design</w:t>
      </w:r>
      <w:r>
        <w:t xml:space="preserve"> meets </w:t>
      </w:r>
      <w:proofErr w:type="gramStart"/>
      <w:r>
        <w:t>all of</w:t>
      </w:r>
      <w:proofErr w:type="gramEnd"/>
      <w:r>
        <w:t xml:space="preserve"> the following:</w:t>
      </w:r>
    </w:p>
    <w:p w14:paraId="4760C5C2" w14:textId="53A48F0D" w:rsidR="00F3277E" w:rsidRPr="00BA1AD7" w:rsidRDefault="00F3277E" w:rsidP="00F3277E">
      <w:r w:rsidRPr="00BA1AD7">
        <w:t>[…]</w:t>
      </w:r>
    </w:p>
    <w:p w14:paraId="2286D778" w14:textId="77777777" w:rsidR="00B654E3" w:rsidRDefault="00F3277E" w:rsidP="00B654E3">
      <w:pPr>
        <w:ind w:left="720"/>
      </w:pPr>
      <w:r w:rsidRPr="00F3277E">
        <w:t xml:space="preserve">3. </w:t>
      </w:r>
      <w:r>
        <w:t>An annual energy cost that is less than or equal to</w:t>
      </w:r>
      <w:r w:rsidR="00B654E3" w:rsidRPr="008A68D3">
        <w:rPr>
          <w:color w:val="FF0000"/>
          <w:u w:val="single"/>
        </w:rPr>
        <w:t>:</w:t>
      </w:r>
      <w:r>
        <w:t xml:space="preserve"> </w:t>
      </w:r>
    </w:p>
    <w:p w14:paraId="495EFFA4" w14:textId="465BB271" w:rsidR="00B654E3" w:rsidRPr="00E278FD" w:rsidRDefault="00B654E3" w:rsidP="00B654E3">
      <w:pPr>
        <w:ind w:left="1440"/>
        <w:rPr>
          <w:i/>
          <w:iCs/>
          <w:color w:val="FF0000"/>
          <w:u w:val="single"/>
        </w:rPr>
      </w:pPr>
      <w:r w:rsidRPr="00B654E3">
        <w:rPr>
          <w:color w:val="FF0000"/>
          <w:u w:val="single"/>
        </w:rPr>
        <w:t>1.</w:t>
      </w:r>
      <w:commentRangeStart w:id="3"/>
      <w:r w:rsidRPr="00E278FD">
        <w:rPr>
          <w:u w:val="single"/>
        </w:rPr>
        <w:t xml:space="preserve"> </w:t>
      </w:r>
      <w:r w:rsidR="00E26C45" w:rsidRPr="00032CDC">
        <w:rPr>
          <w:u w:val="single"/>
        </w:rPr>
        <w:t>95%</w:t>
      </w:r>
      <w:r w:rsidR="00EC221C" w:rsidRPr="00032CDC">
        <w:rPr>
          <w:u w:val="single"/>
        </w:rPr>
        <w:t xml:space="preserve"> o</w:t>
      </w:r>
      <w:r w:rsidR="00C51757" w:rsidRPr="00032CDC">
        <w:rPr>
          <w:u w:val="single"/>
        </w:rPr>
        <w:t>f</w:t>
      </w:r>
      <w:r w:rsidR="00E26C45" w:rsidRPr="00E278FD">
        <w:t xml:space="preserve"> </w:t>
      </w:r>
      <w:commentRangeEnd w:id="3"/>
      <w:r w:rsidR="00885082">
        <w:rPr>
          <w:rStyle w:val="CommentReference"/>
        </w:rPr>
        <w:commentReference w:id="3"/>
      </w:r>
      <w:r w:rsidR="00F3277E">
        <w:t xml:space="preserve">the annual energy cost of the </w:t>
      </w:r>
      <w:r w:rsidR="00F3277E" w:rsidRPr="00F3277E">
        <w:rPr>
          <w:i/>
          <w:iCs/>
        </w:rPr>
        <w:t>standard reference design</w:t>
      </w:r>
      <w:r w:rsidR="00EC221C">
        <w:t xml:space="preserve"> </w:t>
      </w:r>
      <w:r w:rsidR="00EC221C" w:rsidRPr="00E278FD">
        <w:rPr>
          <w:color w:val="FF0000"/>
          <w:u w:val="single"/>
        </w:rPr>
        <w:t>f</w:t>
      </w:r>
      <w:r w:rsidR="00F3277E" w:rsidRPr="00E278FD">
        <w:rPr>
          <w:color w:val="FF0000"/>
          <w:u w:val="single"/>
        </w:rPr>
        <w:t xml:space="preserve">or buildings with </w:t>
      </w:r>
      <w:r w:rsidR="00EC221C" w:rsidRPr="00E278FD">
        <w:rPr>
          <w:color w:val="FF0000"/>
          <w:u w:val="single"/>
        </w:rPr>
        <w:t xml:space="preserve">not greater than </w:t>
      </w:r>
      <w:r w:rsidR="00F3277E" w:rsidRPr="00E278FD">
        <w:rPr>
          <w:color w:val="FF0000"/>
          <w:u w:val="single"/>
        </w:rPr>
        <w:t>5,000 square feet (465 m</w:t>
      </w:r>
      <w:r w:rsidR="00F3277E" w:rsidRPr="00E278FD">
        <w:rPr>
          <w:color w:val="FF0000"/>
          <w:u w:val="single"/>
          <w:vertAlign w:val="superscript"/>
        </w:rPr>
        <w:t>2</w:t>
      </w:r>
      <w:r w:rsidR="00F3277E" w:rsidRPr="00E278FD">
        <w:rPr>
          <w:color w:val="FF0000"/>
          <w:u w:val="single"/>
        </w:rPr>
        <w:t xml:space="preserve">) of </w:t>
      </w:r>
      <w:r w:rsidR="00F3277E" w:rsidRPr="00E278FD">
        <w:rPr>
          <w:i/>
          <w:iCs/>
          <w:color w:val="FF0000"/>
          <w:u w:val="single"/>
        </w:rPr>
        <w:t>conditioned floor area</w:t>
      </w:r>
      <w:r w:rsidRPr="00E278FD">
        <w:rPr>
          <w:color w:val="FF0000"/>
          <w:u w:val="single"/>
        </w:rPr>
        <w:t>.</w:t>
      </w:r>
      <w:r w:rsidRPr="00E278FD">
        <w:rPr>
          <w:i/>
          <w:iCs/>
          <w:color w:val="FF0000"/>
          <w:u w:val="single"/>
        </w:rPr>
        <w:t xml:space="preserve"> </w:t>
      </w:r>
    </w:p>
    <w:p w14:paraId="7ECDC6B5" w14:textId="77777777" w:rsidR="00B654E3" w:rsidRDefault="00B654E3" w:rsidP="00BA1AD7">
      <w:pPr>
        <w:ind w:left="1440"/>
      </w:pPr>
      <w:r w:rsidRPr="00E278FD">
        <w:rPr>
          <w:color w:val="FF0000"/>
          <w:u w:val="single"/>
        </w:rPr>
        <w:t>2. 90% of the</w:t>
      </w:r>
      <w:r w:rsidR="00EC221C" w:rsidRPr="00E278FD">
        <w:rPr>
          <w:color w:val="FF0000"/>
          <w:u w:val="single"/>
        </w:rPr>
        <w:t xml:space="preserve"> </w:t>
      </w:r>
      <w:r w:rsidRPr="00E278FD">
        <w:rPr>
          <w:color w:val="FF0000"/>
          <w:u w:val="single"/>
        </w:rPr>
        <w:t xml:space="preserve">annual energy cost of the </w:t>
      </w:r>
      <w:r w:rsidRPr="00E278FD">
        <w:rPr>
          <w:i/>
          <w:iCs/>
          <w:color w:val="FF0000"/>
          <w:u w:val="single"/>
        </w:rPr>
        <w:t>standard reference design</w:t>
      </w:r>
      <w:r w:rsidRPr="00E278FD">
        <w:rPr>
          <w:color w:val="FF0000"/>
          <w:u w:val="single"/>
        </w:rPr>
        <w:t xml:space="preserve"> for</w:t>
      </w:r>
      <w:r w:rsidR="00EC221C" w:rsidRPr="00E278FD">
        <w:rPr>
          <w:color w:val="FF0000"/>
          <w:u w:val="single"/>
        </w:rPr>
        <w:t xml:space="preserve"> buildings with greater than 5,000 square feet (465 m</w:t>
      </w:r>
      <w:r w:rsidR="00EC221C" w:rsidRPr="00E278FD">
        <w:rPr>
          <w:color w:val="FF0000"/>
          <w:u w:val="single"/>
          <w:vertAlign w:val="superscript"/>
        </w:rPr>
        <w:t>2</w:t>
      </w:r>
      <w:r w:rsidR="00EC221C" w:rsidRPr="00E278FD">
        <w:rPr>
          <w:color w:val="FF0000"/>
          <w:u w:val="single"/>
        </w:rPr>
        <w:t xml:space="preserve">) of </w:t>
      </w:r>
      <w:r w:rsidR="00EC221C" w:rsidRPr="00E278FD">
        <w:rPr>
          <w:i/>
          <w:iCs/>
          <w:color w:val="FF0000"/>
          <w:u w:val="single"/>
        </w:rPr>
        <w:t>conditioned floor area</w:t>
      </w:r>
      <w:r w:rsidR="00F3277E" w:rsidRPr="00E278FD">
        <w:rPr>
          <w:color w:val="FF0000"/>
          <w:u w:val="single"/>
        </w:rPr>
        <w:t>.</w:t>
      </w:r>
      <w:r w:rsidR="00F3277E">
        <w:t xml:space="preserve"> </w:t>
      </w:r>
    </w:p>
    <w:p w14:paraId="4A847AE1" w14:textId="46DFB98C" w:rsidR="00E928DD" w:rsidRPr="00B654E3" w:rsidRDefault="00BA1AD7" w:rsidP="00BA1AD7">
      <w:r>
        <w:t xml:space="preserve">                    </w:t>
      </w:r>
      <w:r w:rsidR="00B654E3">
        <w:t xml:space="preserve">Energy prices </w:t>
      </w:r>
      <w:r w:rsidR="00F3277E">
        <w:t>[…]</w:t>
      </w:r>
    </w:p>
    <w:sectPr w:rsidR="00E928DD" w:rsidRPr="00B654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vin Rose" w:date="2022-04-27T13:05:00Z" w:initials="KR">
    <w:p w14:paraId="27D879BC" w14:textId="2BFBAAE8" w:rsidR="00E278FD" w:rsidRDefault="00E278FD">
      <w:pPr>
        <w:pStyle w:val="CommentText"/>
      </w:pPr>
      <w:r>
        <w:rPr>
          <w:rStyle w:val="CommentReference"/>
        </w:rPr>
        <w:annotationRef/>
      </w:r>
      <w:r>
        <w:t>Could revise to specify 15</w:t>
      </w:r>
      <w:r w:rsidR="00885082">
        <w:t xml:space="preserve"> credits</w:t>
      </w:r>
      <w:r>
        <w:t xml:space="preserve"> if </w:t>
      </w:r>
      <w:proofErr w:type="gramStart"/>
      <w:r>
        <w:t>preferred, but</w:t>
      </w:r>
      <w:proofErr w:type="gramEnd"/>
      <w:r>
        <w:t xml:space="preserve"> formatting this way should streamline updates to this section in future code versions.</w:t>
      </w:r>
    </w:p>
  </w:comment>
  <w:comment w:id="1" w:author="Kevin Rose" w:date="2022-04-27T13:06:00Z" w:initials="KR">
    <w:p w14:paraId="7865FFE7" w14:textId="01A3DEC4" w:rsidR="00E278FD" w:rsidRDefault="00E278FD">
      <w:pPr>
        <w:pStyle w:val="CommentText"/>
      </w:pPr>
      <w:r>
        <w:rPr>
          <w:rStyle w:val="CommentReference"/>
        </w:rPr>
        <w:annotationRef/>
      </w:r>
      <w:r>
        <w:t xml:space="preserve">These are all 95% of the </w:t>
      </w:r>
      <w:r w:rsidRPr="00E278FD">
        <w:t>≤</w:t>
      </w:r>
      <w:r>
        <w:t xml:space="preserve"> 5,000 sq ft </w:t>
      </w:r>
      <w:proofErr w:type="gramStart"/>
      <w:r>
        <w:t>values</w:t>
      </w:r>
      <w:r w:rsidR="00885082">
        <w:t>, but</w:t>
      </w:r>
      <w:proofErr w:type="gramEnd"/>
      <w:r w:rsidR="00885082">
        <w:t xml:space="preserve"> could be revised to be 95% of the 2021 IECC values (including the 5% R401.2.5 reduction).</w:t>
      </w:r>
    </w:p>
  </w:comment>
  <w:comment w:id="2" w:author="Kevin Rose" w:date="2022-04-27T13:08:00Z" w:initials="KR">
    <w:p w14:paraId="06A5B636" w14:textId="56B374E4" w:rsidR="00885082" w:rsidRDefault="00885082">
      <w:pPr>
        <w:pStyle w:val="CommentText"/>
      </w:pPr>
      <w:r>
        <w:rPr>
          <w:rStyle w:val="CommentReference"/>
        </w:rPr>
        <w:annotationRef/>
      </w:r>
      <w:r>
        <w:t>Ditto.</w:t>
      </w:r>
    </w:p>
  </w:comment>
  <w:comment w:id="3" w:author="Kevin Rose" w:date="2022-04-27T13:09:00Z" w:initials="KR">
    <w:p w14:paraId="70D85255" w14:textId="45634186" w:rsidR="00885082" w:rsidRDefault="00885082">
      <w:pPr>
        <w:pStyle w:val="CommentText"/>
      </w:pPr>
      <w:r>
        <w:t xml:space="preserve">The </w:t>
      </w:r>
      <w:r>
        <w:rPr>
          <w:rStyle w:val="CommentReference"/>
        </w:rPr>
        <w:annotationRef/>
      </w:r>
      <w:r>
        <w:t>REPI-18 consensus proposal seeks to remove the 401.2.5 5% reduction, but is there another proposal seeking to relocate it here? This change would be outside the scope of REPI-20 and should be made through another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879BC" w15:done="0"/>
  <w15:commentEx w15:paraId="7865FFE7" w15:done="0"/>
  <w15:commentEx w15:paraId="06A5B636" w15:done="0"/>
  <w15:commentEx w15:paraId="70D85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05" w16cex:dateUtc="2022-04-27T17:05:00Z"/>
  <w16cex:commentExtensible w16cex:durableId="2613BE64" w16cex:dateUtc="2022-04-27T17:06:00Z"/>
  <w16cex:commentExtensible w16cex:durableId="2613BED1" w16cex:dateUtc="2022-04-27T17:08:00Z"/>
  <w16cex:commentExtensible w16cex:durableId="2613BF1B" w16cex:dateUtc="2022-04-27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879BC" w16cid:durableId="2613BE05"/>
  <w16cid:commentId w16cid:paraId="7865FFE7" w16cid:durableId="2613BE64"/>
  <w16cid:commentId w16cid:paraId="06A5B636" w16cid:durableId="2613BED1"/>
  <w16cid:commentId w16cid:paraId="70D85255" w16cid:durableId="2613BF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9A6"/>
    <w:multiLevelType w:val="hybridMultilevel"/>
    <w:tmpl w:val="E3A8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D140D"/>
    <w:multiLevelType w:val="hybridMultilevel"/>
    <w:tmpl w:val="1B0AB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Rose">
    <w15:presenceInfo w15:providerId="AD" w15:userId="S::KRose@neea.org::90a85d97-5587-433e-8201-f7901b751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34"/>
    <w:rsid w:val="00032CDC"/>
    <w:rsid w:val="00083283"/>
    <w:rsid w:val="00092F6F"/>
    <w:rsid w:val="0018565D"/>
    <w:rsid w:val="00234982"/>
    <w:rsid w:val="002A01D3"/>
    <w:rsid w:val="003E552F"/>
    <w:rsid w:val="00554F3F"/>
    <w:rsid w:val="00577939"/>
    <w:rsid w:val="005D5355"/>
    <w:rsid w:val="006B402E"/>
    <w:rsid w:val="006B792B"/>
    <w:rsid w:val="006C7DD9"/>
    <w:rsid w:val="006D0D47"/>
    <w:rsid w:val="00796736"/>
    <w:rsid w:val="00885082"/>
    <w:rsid w:val="008A68D3"/>
    <w:rsid w:val="009165E2"/>
    <w:rsid w:val="009A59DB"/>
    <w:rsid w:val="00A52729"/>
    <w:rsid w:val="00B54445"/>
    <w:rsid w:val="00B654E3"/>
    <w:rsid w:val="00BA1AD7"/>
    <w:rsid w:val="00BC7BA4"/>
    <w:rsid w:val="00C05770"/>
    <w:rsid w:val="00C51757"/>
    <w:rsid w:val="00CB60CA"/>
    <w:rsid w:val="00D10609"/>
    <w:rsid w:val="00D52501"/>
    <w:rsid w:val="00DD5C2B"/>
    <w:rsid w:val="00E26C45"/>
    <w:rsid w:val="00E278FD"/>
    <w:rsid w:val="00E30E23"/>
    <w:rsid w:val="00E928DD"/>
    <w:rsid w:val="00EA27DA"/>
    <w:rsid w:val="00EA7E88"/>
    <w:rsid w:val="00EC221C"/>
    <w:rsid w:val="00F3277E"/>
    <w:rsid w:val="00FA097A"/>
    <w:rsid w:val="00FC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DF76"/>
  <w15:chartTrackingRefBased/>
  <w15:docId w15:val="{E84285FB-56E8-4699-A3F1-18AEAD0A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83"/>
    <w:pPr>
      <w:ind w:left="720"/>
      <w:contextualSpacing/>
    </w:pPr>
  </w:style>
  <w:style w:type="paragraph" w:styleId="Revision">
    <w:name w:val="Revision"/>
    <w:hidden/>
    <w:uiPriority w:val="99"/>
    <w:semiHidden/>
    <w:rsid w:val="009165E2"/>
    <w:pPr>
      <w:spacing w:after="0" w:line="240" w:lineRule="auto"/>
    </w:pPr>
  </w:style>
  <w:style w:type="character" w:styleId="CommentReference">
    <w:name w:val="annotation reference"/>
    <w:basedOn w:val="DefaultParagraphFont"/>
    <w:uiPriority w:val="99"/>
    <w:semiHidden/>
    <w:unhideWhenUsed/>
    <w:rsid w:val="009165E2"/>
    <w:rPr>
      <w:sz w:val="16"/>
      <w:szCs w:val="16"/>
    </w:rPr>
  </w:style>
  <w:style w:type="paragraph" w:styleId="CommentText">
    <w:name w:val="annotation text"/>
    <w:basedOn w:val="Normal"/>
    <w:link w:val="CommentTextChar"/>
    <w:uiPriority w:val="99"/>
    <w:semiHidden/>
    <w:unhideWhenUsed/>
    <w:rsid w:val="009165E2"/>
    <w:pPr>
      <w:spacing w:line="240" w:lineRule="auto"/>
    </w:pPr>
    <w:rPr>
      <w:sz w:val="20"/>
      <w:szCs w:val="20"/>
    </w:rPr>
  </w:style>
  <w:style w:type="character" w:customStyle="1" w:styleId="CommentTextChar">
    <w:name w:val="Comment Text Char"/>
    <w:basedOn w:val="DefaultParagraphFont"/>
    <w:link w:val="CommentText"/>
    <w:uiPriority w:val="99"/>
    <w:semiHidden/>
    <w:rsid w:val="009165E2"/>
    <w:rPr>
      <w:sz w:val="20"/>
      <w:szCs w:val="20"/>
    </w:rPr>
  </w:style>
  <w:style w:type="paragraph" w:styleId="CommentSubject">
    <w:name w:val="annotation subject"/>
    <w:basedOn w:val="CommentText"/>
    <w:next w:val="CommentText"/>
    <w:link w:val="CommentSubjectChar"/>
    <w:uiPriority w:val="99"/>
    <w:semiHidden/>
    <w:unhideWhenUsed/>
    <w:rsid w:val="009165E2"/>
    <w:rPr>
      <w:b/>
      <w:bCs/>
    </w:rPr>
  </w:style>
  <w:style w:type="character" w:customStyle="1" w:styleId="CommentSubjectChar">
    <w:name w:val="Comment Subject Char"/>
    <w:basedOn w:val="CommentTextChar"/>
    <w:link w:val="CommentSubject"/>
    <w:uiPriority w:val="99"/>
    <w:semiHidden/>
    <w:rsid w:val="009165E2"/>
    <w:rPr>
      <w:b/>
      <w:bCs/>
      <w:sz w:val="20"/>
      <w:szCs w:val="20"/>
    </w:rPr>
  </w:style>
  <w:style w:type="table" w:styleId="TableGrid">
    <w:name w:val="Table Grid"/>
    <w:basedOn w:val="TableNormal"/>
    <w:uiPriority w:val="39"/>
    <w:rsid w:val="005D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39103">
      <w:bodyDiv w:val="1"/>
      <w:marLeft w:val="0"/>
      <w:marRight w:val="0"/>
      <w:marTop w:val="0"/>
      <w:marBottom w:val="0"/>
      <w:divBdr>
        <w:top w:val="none" w:sz="0" w:space="0" w:color="auto"/>
        <w:left w:val="none" w:sz="0" w:space="0" w:color="auto"/>
        <w:bottom w:val="none" w:sz="0" w:space="0" w:color="auto"/>
        <w:right w:val="none" w:sz="0" w:space="0" w:color="auto"/>
      </w:divBdr>
    </w:div>
    <w:div w:id="17548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E264-3CA3-460A-964C-D9CE53B5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Rose</dc:creator>
  <cp:keywords/>
  <dc:description/>
  <cp:lastModifiedBy>Wildenhaus, Dan</cp:lastModifiedBy>
  <cp:revision>2</cp:revision>
  <dcterms:created xsi:type="dcterms:W3CDTF">2022-05-11T14:49:00Z</dcterms:created>
  <dcterms:modified xsi:type="dcterms:W3CDTF">2022-05-11T14:49:00Z</dcterms:modified>
</cp:coreProperties>
</file>