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03F0" w14:textId="77777777" w:rsidR="000F58BD" w:rsidRPr="00100DD4" w:rsidRDefault="000F58BD" w:rsidP="000F58BD">
      <w:pPr>
        <w:autoSpaceDE w:val="0"/>
        <w:autoSpaceDN w:val="0"/>
        <w:adjustRightInd w:val="0"/>
        <w:spacing w:after="0" w:line="240" w:lineRule="auto"/>
        <w:rPr>
          <w:rFonts w:ascii="Arial" w:hAnsi="Arial" w:cs="Arial"/>
          <w:b/>
          <w:bCs/>
          <w:sz w:val="20"/>
          <w:szCs w:val="20"/>
        </w:rPr>
      </w:pPr>
      <w:r w:rsidRPr="00100DD4">
        <w:rPr>
          <w:rFonts w:ascii="Arial" w:hAnsi="Arial" w:cs="Arial"/>
          <w:b/>
          <w:bCs/>
          <w:sz w:val="20"/>
          <w:szCs w:val="20"/>
        </w:rPr>
        <w:t>REPI-78-21</w:t>
      </w:r>
    </w:p>
    <w:p w14:paraId="4F0CC12E" w14:textId="77777777" w:rsidR="00100DD4" w:rsidRDefault="00100DD4" w:rsidP="000F58BD">
      <w:pPr>
        <w:autoSpaceDE w:val="0"/>
        <w:autoSpaceDN w:val="0"/>
        <w:adjustRightInd w:val="0"/>
        <w:spacing w:after="0" w:line="240" w:lineRule="auto"/>
        <w:rPr>
          <w:rFonts w:ascii="Arial" w:hAnsi="Arial" w:cs="Arial"/>
          <w:b/>
          <w:bCs/>
          <w:sz w:val="20"/>
          <w:szCs w:val="20"/>
        </w:rPr>
      </w:pPr>
    </w:p>
    <w:p w14:paraId="3FF9B1C7" w14:textId="01A91810" w:rsidR="000F58BD" w:rsidRPr="00100DD4" w:rsidRDefault="000F58BD" w:rsidP="000F58BD">
      <w:pPr>
        <w:autoSpaceDE w:val="0"/>
        <w:autoSpaceDN w:val="0"/>
        <w:adjustRightInd w:val="0"/>
        <w:spacing w:after="0" w:line="240" w:lineRule="auto"/>
        <w:rPr>
          <w:rFonts w:ascii="Arial" w:hAnsi="Arial" w:cs="Arial"/>
          <w:b/>
          <w:bCs/>
          <w:sz w:val="20"/>
          <w:szCs w:val="20"/>
        </w:rPr>
      </w:pPr>
      <w:r w:rsidRPr="00100DD4">
        <w:rPr>
          <w:rFonts w:ascii="Arial" w:hAnsi="Arial" w:cs="Arial"/>
          <w:b/>
          <w:bCs/>
          <w:sz w:val="20"/>
          <w:szCs w:val="20"/>
        </w:rPr>
        <w:t>IECC®: SECTION 202, R403.3.1, TABLE R405.4.2(1)</w:t>
      </w:r>
    </w:p>
    <w:p w14:paraId="587B9EF2" w14:textId="77777777" w:rsidR="00100DD4" w:rsidRDefault="00100DD4" w:rsidP="000F58BD">
      <w:pPr>
        <w:autoSpaceDE w:val="0"/>
        <w:autoSpaceDN w:val="0"/>
        <w:adjustRightInd w:val="0"/>
        <w:spacing w:after="0" w:line="240" w:lineRule="auto"/>
        <w:rPr>
          <w:rFonts w:ascii="Arial" w:hAnsi="Arial" w:cs="Arial"/>
          <w:b/>
          <w:bCs/>
          <w:sz w:val="20"/>
          <w:szCs w:val="20"/>
        </w:rPr>
      </w:pPr>
    </w:p>
    <w:p w14:paraId="692603D8" w14:textId="375BD15D" w:rsidR="000F58BD" w:rsidRPr="00100DD4" w:rsidRDefault="000F58BD" w:rsidP="000F58BD">
      <w:pPr>
        <w:autoSpaceDE w:val="0"/>
        <w:autoSpaceDN w:val="0"/>
        <w:adjustRightInd w:val="0"/>
        <w:spacing w:after="0" w:line="240" w:lineRule="auto"/>
        <w:rPr>
          <w:rFonts w:ascii="Arial" w:hAnsi="Arial" w:cs="Arial"/>
          <w:b/>
          <w:bCs/>
          <w:sz w:val="20"/>
          <w:szCs w:val="20"/>
        </w:rPr>
      </w:pPr>
      <w:r w:rsidRPr="00100DD4">
        <w:rPr>
          <w:rFonts w:ascii="Arial" w:hAnsi="Arial" w:cs="Arial"/>
          <w:b/>
          <w:bCs/>
          <w:sz w:val="20"/>
          <w:szCs w:val="20"/>
        </w:rPr>
        <w:t>Proponents:</w:t>
      </w:r>
    </w:p>
    <w:p w14:paraId="114668F0" w14:textId="2AF1CCA7" w:rsidR="000F58BD" w:rsidRPr="00100DD4" w:rsidRDefault="000F58BD" w:rsidP="000F58BD">
      <w:pPr>
        <w:autoSpaceDE w:val="0"/>
        <w:autoSpaceDN w:val="0"/>
        <w:adjustRightInd w:val="0"/>
        <w:spacing w:after="0" w:line="240" w:lineRule="auto"/>
        <w:rPr>
          <w:rFonts w:ascii="Arial" w:hAnsi="Arial" w:cs="Arial"/>
          <w:sz w:val="20"/>
          <w:szCs w:val="20"/>
        </w:rPr>
      </w:pPr>
      <w:r w:rsidRPr="00100DD4">
        <w:rPr>
          <w:rFonts w:ascii="Arial" w:hAnsi="Arial" w:cs="Arial"/>
          <w:sz w:val="20"/>
          <w:szCs w:val="20"/>
        </w:rPr>
        <w:t>David Springer, representing on behalf of the California Statewide Utility Codes and Standards Team (ieccducts2@2050partners.com); Mark Lyles, representing New Buildings Institute</w:t>
      </w:r>
      <w:r w:rsidR="00100DD4">
        <w:rPr>
          <w:rFonts w:ascii="Arial" w:hAnsi="Arial" w:cs="Arial"/>
          <w:sz w:val="20"/>
          <w:szCs w:val="20"/>
        </w:rPr>
        <w:t xml:space="preserve"> </w:t>
      </w:r>
      <w:r w:rsidRPr="00100DD4">
        <w:rPr>
          <w:rFonts w:ascii="Arial" w:hAnsi="Arial" w:cs="Arial"/>
          <w:sz w:val="20"/>
          <w:szCs w:val="20"/>
        </w:rPr>
        <w:t>(markl@newbuildings.org)</w:t>
      </w:r>
    </w:p>
    <w:p w14:paraId="121814D5" w14:textId="77777777" w:rsidR="00100DD4" w:rsidRDefault="00100DD4" w:rsidP="000F58BD">
      <w:pPr>
        <w:autoSpaceDE w:val="0"/>
        <w:autoSpaceDN w:val="0"/>
        <w:adjustRightInd w:val="0"/>
        <w:spacing w:after="0" w:line="240" w:lineRule="auto"/>
        <w:rPr>
          <w:rFonts w:ascii="Arial" w:hAnsi="Arial" w:cs="Arial"/>
          <w:b/>
          <w:bCs/>
          <w:sz w:val="20"/>
          <w:szCs w:val="20"/>
        </w:rPr>
      </w:pPr>
    </w:p>
    <w:p w14:paraId="58A9AF39" w14:textId="47CCAD10" w:rsidR="000F58BD" w:rsidRPr="00100DD4" w:rsidRDefault="000F58BD" w:rsidP="000F58BD">
      <w:pPr>
        <w:autoSpaceDE w:val="0"/>
        <w:autoSpaceDN w:val="0"/>
        <w:adjustRightInd w:val="0"/>
        <w:spacing w:after="0" w:line="240" w:lineRule="auto"/>
        <w:rPr>
          <w:rFonts w:ascii="Arial" w:hAnsi="Arial" w:cs="Arial"/>
          <w:b/>
          <w:bCs/>
          <w:sz w:val="20"/>
          <w:szCs w:val="20"/>
        </w:rPr>
      </w:pPr>
      <w:r w:rsidRPr="00100DD4">
        <w:rPr>
          <w:rFonts w:ascii="Arial" w:hAnsi="Arial" w:cs="Arial"/>
          <w:b/>
          <w:bCs/>
          <w:sz w:val="20"/>
          <w:szCs w:val="20"/>
        </w:rPr>
        <w:t>Revise as follows:</w:t>
      </w:r>
    </w:p>
    <w:p w14:paraId="0391CE92" w14:textId="0E2DE56B" w:rsidR="000F58BD" w:rsidRPr="00100DD4" w:rsidRDefault="000F58BD" w:rsidP="000F58BD">
      <w:pPr>
        <w:autoSpaceDE w:val="0"/>
        <w:autoSpaceDN w:val="0"/>
        <w:adjustRightInd w:val="0"/>
        <w:spacing w:after="0" w:line="240" w:lineRule="auto"/>
        <w:rPr>
          <w:rFonts w:ascii="Arial" w:hAnsi="Arial" w:cs="Arial"/>
          <w:sz w:val="20"/>
          <w:szCs w:val="20"/>
          <w:u w:val="single"/>
        </w:rPr>
      </w:pPr>
      <w:r w:rsidRPr="00100DD4">
        <w:rPr>
          <w:rFonts w:ascii="Arial" w:hAnsi="Arial" w:cs="Arial"/>
          <w:sz w:val="20"/>
          <w:szCs w:val="20"/>
        </w:rPr>
        <w:t xml:space="preserve">IECC2021P1E_RE_Ch02_SecR202_DefTHERMAL_DISTRIBUTION_EFFICIENCY_TDE_ </w:t>
      </w:r>
      <w:r w:rsidRPr="00100DD4">
        <w:rPr>
          <w:rFonts w:ascii="Arial" w:hAnsi="Arial" w:cs="Arial"/>
          <w:strike/>
          <w:sz w:val="20"/>
          <w:szCs w:val="20"/>
        </w:rPr>
        <w:t>THERMAL</w:t>
      </w:r>
      <w:r w:rsidRPr="00100DD4">
        <w:rPr>
          <w:rFonts w:ascii="Arial" w:hAnsi="Arial" w:cs="Arial"/>
          <w:sz w:val="20"/>
          <w:szCs w:val="20"/>
        </w:rPr>
        <w:t xml:space="preserve"> DISTRIBUTION </w:t>
      </w:r>
      <w:r w:rsidRPr="00100DD4">
        <w:rPr>
          <w:rFonts w:ascii="Arial" w:hAnsi="Arial" w:cs="Arial"/>
          <w:sz w:val="20"/>
          <w:szCs w:val="20"/>
          <w:u w:val="single"/>
        </w:rPr>
        <w:t>SYSTEM</w:t>
      </w:r>
      <w:r w:rsidR="00100DD4">
        <w:rPr>
          <w:rFonts w:ascii="Arial" w:hAnsi="Arial" w:cs="Arial"/>
          <w:sz w:val="20"/>
          <w:szCs w:val="20"/>
        </w:rPr>
        <w:t xml:space="preserve"> </w:t>
      </w:r>
      <w:r w:rsidRPr="00100DD4">
        <w:rPr>
          <w:rFonts w:ascii="Arial" w:hAnsi="Arial" w:cs="Arial"/>
          <w:sz w:val="20"/>
          <w:szCs w:val="20"/>
        </w:rPr>
        <w:t>EFFICIENCY (</w:t>
      </w:r>
      <w:r w:rsidRPr="00100DD4">
        <w:rPr>
          <w:rFonts w:ascii="Arial" w:hAnsi="Arial" w:cs="Arial"/>
          <w:strike/>
          <w:sz w:val="20"/>
          <w:szCs w:val="20"/>
        </w:rPr>
        <w:t>TDE</w:t>
      </w:r>
      <w:r w:rsidRPr="00100DD4">
        <w:rPr>
          <w:rFonts w:ascii="Arial" w:hAnsi="Arial" w:cs="Arial"/>
          <w:sz w:val="20"/>
          <w:szCs w:val="20"/>
        </w:rPr>
        <w:t xml:space="preserve"> </w:t>
      </w:r>
      <w:r w:rsidRPr="00100DD4">
        <w:rPr>
          <w:rFonts w:ascii="Arial" w:hAnsi="Arial" w:cs="Arial"/>
          <w:sz w:val="20"/>
          <w:szCs w:val="20"/>
          <w:u w:val="single"/>
        </w:rPr>
        <w:t>DSE</w:t>
      </w:r>
      <w:r w:rsidRPr="00100DD4">
        <w:rPr>
          <w:rFonts w:ascii="Arial" w:hAnsi="Arial" w:cs="Arial"/>
          <w:sz w:val="20"/>
          <w:szCs w:val="20"/>
        </w:rPr>
        <w:t xml:space="preserve">). </w:t>
      </w:r>
      <w:r w:rsidRPr="00100DD4">
        <w:rPr>
          <w:rFonts w:ascii="Arial" w:hAnsi="Arial" w:cs="Arial"/>
          <w:strike/>
          <w:sz w:val="20"/>
          <w:szCs w:val="20"/>
        </w:rPr>
        <w:t>The resistance to changes in air heat as air is conveyed through a distance of air duct. TDE is a heat loss</w:t>
      </w:r>
      <w:r w:rsidR="00100DD4" w:rsidRPr="00100DD4">
        <w:rPr>
          <w:rFonts w:ascii="Arial" w:hAnsi="Arial" w:cs="Arial"/>
          <w:strike/>
          <w:sz w:val="20"/>
          <w:szCs w:val="20"/>
        </w:rPr>
        <w:t xml:space="preserve"> </w:t>
      </w:r>
      <w:r w:rsidRPr="00100DD4">
        <w:rPr>
          <w:rFonts w:ascii="Arial" w:hAnsi="Arial" w:cs="Arial"/>
          <w:strike/>
          <w:sz w:val="20"/>
          <w:szCs w:val="20"/>
        </w:rPr>
        <w:t>calculation evaluating the difference in the heat of the air between the air duct inlet and outlet caused by differences in temperatures</w:t>
      </w:r>
      <w:r w:rsidR="00100DD4" w:rsidRPr="00100DD4">
        <w:rPr>
          <w:rFonts w:ascii="Arial" w:hAnsi="Arial" w:cs="Arial"/>
          <w:strike/>
          <w:sz w:val="20"/>
          <w:szCs w:val="20"/>
        </w:rPr>
        <w:t xml:space="preserve"> </w:t>
      </w:r>
      <w:r w:rsidRPr="00100DD4">
        <w:rPr>
          <w:rFonts w:ascii="Arial" w:hAnsi="Arial" w:cs="Arial"/>
          <w:strike/>
          <w:sz w:val="20"/>
          <w:szCs w:val="20"/>
        </w:rPr>
        <w:t>between the air in the duct and the duct material. TDE is expressed as a percent difference between the inlet and outlet</w:t>
      </w:r>
      <w:r w:rsidR="00100DD4" w:rsidRPr="00100DD4">
        <w:rPr>
          <w:rFonts w:ascii="Arial" w:hAnsi="Arial" w:cs="Arial"/>
          <w:strike/>
          <w:sz w:val="20"/>
          <w:szCs w:val="20"/>
        </w:rPr>
        <w:t xml:space="preserve"> </w:t>
      </w:r>
      <w:r w:rsidRPr="00100DD4">
        <w:rPr>
          <w:rFonts w:ascii="Arial" w:hAnsi="Arial" w:cs="Arial"/>
          <w:strike/>
          <w:sz w:val="20"/>
          <w:szCs w:val="20"/>
        </w:rPr>
        <w:t>heat in the</w:t>
      </w:r>
      <w:r w:rsidR="00100DD4" w:rsidRPr="00100DD4">
        <w:rPr>
          <w:rFonts w:ascii="Arial" w:hAnsi="Arial" w:cs="Arial"/>
          <w:strike/>
          <w:sz w:val="20"/>
          <w:szCs w:val="20"/>
        </w:rPr>
        <w:t xml:space="preserve"> </w:t>
      </w:r>
      <w:r w:rsidRPr="00100DD4">
        <w:rPr>
          <w:rFonts w:ascii="Arial" w:hAnsi="Arial" w:cs="Arial"/>
          <w:strike/>
          <w:sz w:val="20"/>
          <w:szCs w:val="20"/>
        </w:rPr>
        <w:t>duct.</w:t>
      </w:r>
      <w:r w:rsidR="00100DD4">
        <w:rPr>
          <w:rFonts w:ascii="Arial" w:hAnsi="Arial" w:cs="Arial"/>
          <w:sz w:val="20"/>
          <w:szCs w:val="20"/>
        </w:rPr>
        <w:t xml:space="preserve"> </w:t>
      </w:r>
      <w:r w:rsidRPr="00100DD4">
        <w:rPr>
          <w:rFonts w:ascii="Arial" w:hAnsi="Arial" w:cs="Arial"/>
          <w:sz w:val="20"/>
          <w:szCs w:val="20"/>
          <w:u w:val="single"/>
        </w:rPr>
        <w:t>The ratio of the thermal energy transferred to or from the conditioned space to the thermal energy transferred at the equipment</w:t>
      </w:r>
      <w:r w:rsidR="00100DD4" w:rsidRPr="00100DD4">
        <w:rPr>
          <w:rFonts w:ascii="Arial" w:hAnsi="Arial" w:cs="Arial"/>
          <w:sz w:val="20"/>
          <w:szCs w:val="20"/>
          <w:u w:val="single"/>
        </w:rPr>
        <w:t xml:space="preserve"> </w:t>
      </w:r>
      <w:r w:rsidRPr="00100DD4">
        <w:rPr>
          <w:rFonts w:ascii="Arial" w:hAnsi="Arial" w:cs="Arial"/>
          <w:sz w:val="20"/>
          <w:szCs w:val="20"/>
          <w:u w:val="single"/>
        </w:rPr>
        <w:t>distribution system heat exchanger. Energy delivered to or from the conditioned space includes distribution system losses to the</w:t>
      </w:r>
      <w:r w:rsidR="00100DD4" w:rsidRPr="00100DD4">
        <w:rPr>
          <w:rFonts w:ascii="Arial" w:hAnsi="Arial" w:cs="Arial"/>
          <w:sz w:val="20"/>
          <w:szCs w:val="20"/>
          <w:u w:val="single"/>
        </w:rPr>
        <w:t xml:space="preserve"> </w:t>
      </w:r>
      <w:r w:rsidRPr="00100DD4">
        <w:rPr>
          <w:rFonts w:ascii="Arial" w:hAnsi="Arial" w:cs="Arial"/>
          <w:sz w:val="20"/>
          <w:szCs w:val="20"/>
          <w:u w:val="single"/>
        </w:rPr>
        <w:t>conditioned space.</w:t>
      </w:r>
    </w:p>
    <w:p w14:paraId="16EB4840" w14:textId="77777777" w:rsidR="00100DD4" w:rsidRDefault="00100DD4" w:rsidP="000F58BD">
      <w:pPr>
        <w:autoSpaceDE w:val="0"/>
        <w:autoSpaceDN w:val="0"/>
        <w:adjustRightInd w:val="0"/>
        <w:spacing w:after="0" w:line="240" w:lineRule="auto"/>
        <w:rPr>
          <w:rFonts w:ascii="Arial" w:hAnsi="Arial" w:cs="Arial"/>
          <w:sz w:val="20"/>
          <w:szCs w:val="20"/>
        </w:rPr>
      </w:pPr>
    </w:p>
    <w:p w14:paraId="0BAE5A7C" w14:textId="11C6E927" w:rsidR="000F58BD" w:rsidRPr="00100DD4" w:rsidRDefault="000F58BD" w:rsidP="000F58BD">
      <w:pPr>
        <w:autoSpaceDE w:val="0"/>
        <w:autoSpaceDN w:val="0"/>
        <w:adjustRightInd w:val="0"/>
        <w:spacing w:after="0" w:line="240" w:lineRule="auto"/>
        <w:rPr>
          <w:rFonts w:ascii="Arial" w:hAnsi="Arial" w:cs="Arial"/>
          <w:sz w:val="20"/>
          <w:szCs w:val="20"/>
        </w:rPr>
      </w:pPr>
      <w:r w:rsidRPr="00100DD4">
        <w:rPr>
          <w:rFonts w:ascii="Arial" w:hAnsi="Arial" w:cs="Arial"/>
          <w:sz w:val="20"/>
          <w:szCs w:val="20"/>
        </w:rPr>
        <w:t>R403.3.1 Ducts located outside conditioned space.</w:t>
      </w:r>
    </w:p>
    <w:p w14:paraId="3EA05780" w14:textId="1D134616" w:rsidR="000F58BD" w:rsidRPr="00100DD4" w:rsidRDefault="000F58BD" w:rsidP="000F58BD">
      <w:pPr>
        <w:autoSpaceDE w:val="0"/>
        <w:autoSpaceDN w:val="0"/>
        <w:adjustRightInd w:val="0"/>
        <w:spacing w:after="0" w:line="240" w:lineRule="auto"/>
        <w:rPr>
          <w:rFonts w:ascii="Arial" w:hAnsi="Arial" w:cs="Arial"/>
          <w:sz w:val="20"/>
          <w:szCs w:val="20"/>
        </w:rPr>
      </w:pPr>
      <w:r w:rsidRPr="00100DD4">
        <w:rPr>
          <w:rFonts w:ascii="Arial" w:hAnsi="Arial" w:cs="Arial"/>
          <w:sz w:val="20"/>
          <w:szCs w:val="20"/>
        </w:rPr>
        <w:t>Supply and return ducts located outside conditioned space shall be insulated to an R-value of not less than R-8 for ducts 3 inches (76</w:t>
      </w:r>
      <w:r w:rsidR="00100DD4">
        <w:rPr>
          <w:rFonts w:ascii="Arial" w:hAnsi="Arial" w:cs="Arial"/>
          <w:sz w:val="20"/>
          <w:szCs w:val="20"/>
        </w:rPr>
        <w:t xml:space="preserve"> </w:t>
      </w:r>
      <w:r w:rsidRPr="00100DD4">
        <w:rPr>
          <w:rFonts w:ascii="Arial" w:hAnsi="Arial" w:cs="Arial"/>
          <w:sz w:val="20"/>
          <w:szCs w:val="20"/>
        </w:rPr>
        <w:t>mm) in diameter and larger and not less than R-6 for ducts smaller than 3 inches (76 mm) in diameter. Ducts buried beneath a building</w:t>
      </w:r>
      <w:r w:rsidR="00100DD4">
        <w:rPr>
          <w:rFonts w:ascii="Arial" w:hAnsi="Arial" w:cs="Arial"/>
          <w:sz w:val="20"/>
          <w:szCs w:val="20"/>
        </w:rPr>
        <w:t xml:space="preserve"> </w:t>
      </w:r>
      <w:r w:rsidRPr="00100DD4">
        <w:rPr>
          <w:rFonts w:ascii="Arial" w:hAnsi="Arial" w:cs="Arial"/>
          <w:sz w:val="20"/>
          <w:szCs w:val="20"/>
        </w:rPr>
        <w:t>shall be insulated as required per this</w:t>
      </w:r>
      <w:r w:rsidR="00100DD4">
        <w:rPr>
          <w:rFonts w:ascii="Arial" w:hAnsi="Arial" w:cs="Arial"/>
          <w:sz w:val="20"/>
          <w:szCs w:val="20"/>
        </w:rPr>
        <w:t xml:space="preserve"> </w:t>
      </w:r>
      <w:r w:rsidRPr="00100DD4">
        <w:rPr>
          <w:rFonts w:ascii="Arial" w:hAnsi="Arial" w:cs="Arial"/>
          <w:sz w:val="20"/>
          <w:szCs w:val="20"/>
        </w:rPr>
        <w:t xml:space="preserve">section or have an equivalent </w:t>
      </w:r>
      <w:r w:rsidRPr="00016EB2">
        <w:rPr>
          <w:rFonts w:ascii="Arial" w:hAnsi="Arial" w:cs="Arial"/>
          <w:i/>
          <w:iCs/>
          <w:strike/>
          <w:sz w:val="20"/>
          <w:szCs w:val="20"/>
        </w:rPr>
        <w:t>thermal</w:t>
      </w:r>
      <w:r w:rsidRPr="00016EB2">
        <w:rPr>
          <w:rFonts w:ascii="Arial" w:hAnsi="Arial" w:cs="Arial"/>
          <w:i/>
          <w:iCs/>
          <w:sz w:val="20"/>
          <w:szCs w:val="20"/>
        </w:rPr>
        <w:t xml:space="preserve"> distribution </w:t>
      </w:r>
      <w:r w:rsidRPr="00016EB2">
        <w:rPr>
          <w:rFonts w:ascii="Arial" w:hAnsi="Arial" w:cs="Arial"/>
          <w:i/>
          <w:iCs/>
          <w:sz w:val="20"/>
          <w:szCs w:val="20"/>
          <w:u w:val="single"/>
        </w:rPr>
        <w:t>system</w:t>
      </w:r>
      <w:r w:rsidRPr="00016EB2">
        <w:rPr>
          <w:rFonts w:ascii="Arial" w:hAnsi="Arial" w:cs="Arial"/>
          <w:i/>
          <w:iCs/>
          <w:sz w:val="20"/>
          <w:szCs w:val="20"/>
        </w:rPr>
        <w:t xml:space="preserve"> efficiency</w:t>
      </w:r>
      <w:r w:rsidRPr="00100DD4">
        <w:rPr>
          <w:rFonts w:ascii="Arial" w:hAnsi="Arial" w:cs="Arial"/>
          <w:sz w:val="20"/>
          <w:szCs w:val="20"/>
        </w:rPr>
        <w:t>. Underground ducts utilizing</w:t>
      </w:r>
      <w:r w:rsidR="00100DD4">
        <w:rPr>
          <w:rFonts w:ascii="Arial" w:hAnsi="Arial" w:cs="Arial"/>
          <w:sz w:val="20"/>
          <w:szCs w:val="20"/>
        </w:rPr>
        <w:t xml:space="preserve"> </w:t>
      </w:r>
      <w:r w:rsidRPr="00100DD4">
        <w:rPr>
          <w:rFonts w:ascii="Arial" w:hAnsi="Arial" w:cs="Arial"/>
          <w:sz w:val="20"/>
          <w:szCs w:val="20"/>
        </w:rPr>
        <w:t xml:space="preserve">the </w:t>
      </w:r>
      <w:r w:rsidRPr="00016EB2">
        <w:rPr>
          <w:rFonts w:ascii="Arial" w:hAnsi="Arial" w:cs="Arial"/>
          <w:i/>
          <w:iCs/>
          <w:strike/>
          <w:sz w:val="20"/>
          <w:szCs w:val="20"/>
        </w:rPr>
        <w:t>thermal</w:t>
      </w:r>
      <w:r w:rsidRPr="00016EB2">
        <w:rPr>
          <w:rFonts w:ascii="Arial" w:hAnsi="Arial" w:cs="Arial"/>
          <w:i/>
          <w:iCs/>
          <w:sz w:val="20"/>
          <w:szCs w:val="20"/>
        </w:rPr>
        <w:t xml:space="preserve"> distribution</w:t>
      </w:r>
      <w:r w:rsidR="00100DD4" w:rsidRPr="00016EB2">
        <w:rPr>
          <w:rFonts w:ascii="Arial" w:hAnsi="Arial" w:cs="Arial"/>
          <w:i/>
          <w:iCs/>
          <w:sz w:val="20"/>
          <w:szCs w:val="20"/>
        </w:rPr>
        <w:t xml:space="preserve"> </w:t>
      </w:r>
      <w:r w:rsidRPr="00016EB2">
        <w:rPr>
          <w:rFonts w:ascii="Arial" w:hAnsi="Arial" w:cs="Arial"/>
          <w:i/>
          <w:iCs/>
          <w:sz w:val="20"/>
          <w:szCs w:val="20"/>
          <w:u w:val="single"/>
        </w:rPr>
        <w:t xml:space="preserve">system </w:t>
      </w:r>
      <w:r w:rsidRPr="00016EB2">
        <w:rPr>
          <w:rFonts w:ascii="Arial" w:hAnsi="Arial" w:cs="Arial"/>
          <w:i/>
          <w:iCs/>
          <w:sz w:val="20"/>
          <w:szCs w:val="20"/>
        </w:rPr>
        <w:t>efficiency</w:t>
      </w:r>
      <w:r w:rsidRPr="00100DD4">
        <w:rPr>
          <w:rFonts w:ascii="Arial" w:hAnsi="Arial" w:cs="Arial"/>
          <w:sz w:val="20"/>
          <w:szCs w:val="20"/>
        </w:rPr>
        <w:t xml:space="preserve"> method shall be listed and labeled to indicate the R-value</w:t>
      </w:r>
      <w:r w:rsidR="00100DD4">
        <w:rPr>
          <w:rFonts w:ascii="Arial" w:hAnsi="Arial" w:cs="Arial"/>
          <w:sz w:val="20"/>
          <w:szCs w:val="20"/>
        </w:rPr>
        <w:t xml:space="preserve"> </w:t>
      </w:r>
      <w:r w:rsidRPr="00100DD4">
        <w:rPr>
          <w:rFonts w:ascii="Arial" w:hAnsi="Arial" w:cs="Arial"/>
          <w:sz w:val="20"/>
          <w:szCs w:val="20"/>
        </w:rPr>
        <w:t>equivalency.</w:t>
      </w:r>
    </w:p>
    <w:p w14:paraId="1CB756CE" w14:textId="77777777" w:rsidR="00100DD4" w:rsidRDefault="00100DD4" w:rsidP="000F58BD">
      <w:pPr>
        <w:autoSpaceDE w:val="0"/>
        <w:autoSpaceDN w:val="0"/>
        <w:adjustRightInd w:val="0"/>
        <w:spacing w:after="0" w:line="240" w:lineRule="auto"/>
        <w:rPr>
          <w:rFonts w:ascii="Arial" w:hAnsi="Arial" w:cs="Arial"/>
          <w:sz w:val="20"/>
          <w:szCs w:val="20"/>
        </w:rPr>
      </w:pPr>
    </w:p>
    <w:p w14:paraId="2849933B" w14:textId="077488F8" w:rsidR="000F58BD" w:rsidRPr="00016EB2" w:rsidRDefault="000F58BD" w:rsidP="00016EB2">
      <w:pPr>
        <w:autoSpaceDE w:val="0"/>
        <w:autoSpaceDN w:val="0"/>
        <w:adjustRightInd w:val="0"/>
        <w:spacing w:after="0" w:line="240" w:lineRule="auto"/>
        <w:jc w:val="center"/>
        <w:rPr>
          <w:rFonts w:ascii="Arial" w:hAnsi="Arial" w:cs="Arial"/>
          <w:sz w:val="18"/>
          <w:szCs w:val="18"/>
        </w:rPr>
      </w:pPr>
      <w:r w:rsidRPr="00016EB2">
        <w:rPr>
          <w:rFonts w:ascii="Arial" w:hAnsi="Arial" w:cs="Arial"/>
          <w:sz w:val="18"/>
          <w:szCs w:val="18"/>
        </w:rPr>
        <w:t>TABLE R405.4.2(1) SPECIFICATIONS FOR THE STANDARD REFERENCE AND PROPOSED DESIGNS</w:t>
      </w:r>
    </w:p>
    <w:p w14:paraId="4D9F05E1" w14:textId="6B723CAC" w:rsidR="00016EB2" w:rsidRDefault="00016EB2" w:rsidP="000F58BD">
      <w:pPr>
        <w:autoSpaceDE w:val="0"/>
        <w:autoSpaceDN w:val="0"/>
        <w:adjustRightInd w:val="0"/>
        <w:spacing w:after="0" w:line="240" w:lineRule="auto"/>
        <w:rPr>
          <w:rFonts w:ascii="Arial" w:hAnsi="Arial" w:cs="Arial"/>
          <w:b/>
          <w:bCs/>
          <w:sz w:val="20"/>
          <w:szCs w:val="20"/>
        </w:rPr>
      </w:pPr>
      <w:r>
        <w:rPr>
          <w:noProof/>
        </w:rPr>
        <w:drawing>
          <wp:inline distT="0" distB="0" distL="0" distR="0" wp14:anchorId="188E91DD" wp14:editId="6ED59F53">
            <wp:extent cx="5943600" cy="193230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6"/>
                    <a:stretch>
                      <a:fillRect/>
                    </a:stretch>
                  </pic:blipFill>
                  <pic:spPr>
                    <a:xfrm>
                      <a:off x="0" y="0"/>
                      <a:ext cx="5943600" cy="1932305"/>
                    </a:xfrm>
                    <a:prstGeom prst="rect">
                      <a:avLst/>
                    </a:prstGeom>
                  </pic:spPr>
                </pic:pic>
              </a:graphicData>
            </a:graphic>
          </wp:inline>
        </w:drawing>
      </w:r>
    </w:p>
    <w:p w14:paraId="4E4E35F3" w14:textId="77777777" w:rsidR="003C5CF1" w:rsidRDefault="003C5CF1" w:rsidP="000F58BD">
      <w:pPr>
        <w:autoSpaceDE w:val="0"/>
        <w:autoSpaceDN w:val="0"/>
        <w:adjustRightInd w:val="0"/>
        <w:spacing w:after="0" w:line="240" w:lineRule="auto"/>
        <w:rPr>
          <w:rFonts w:ascii="Arial" w:hAnsi="Arial" w:cs="Arial"/>
          <w:b/>
          <w:bCs/>
          <w:sz w:val="20"/>
          <w:szCs w:val="20"/>
        </w:rPr>
      </w:pPr>
    </w:p>
    <w:p w14:paraId="4BA171C5" w14:textId="77777777" w:rsidR="003C5CF1" w:rsidRDefault="000F58BD" w:rsidP="000F58BD">
      <w:pPr>
        <w:autoSpaceDE w:val="0"/>
        <w:autoSpaceDN w:val="0"/>
        <w:adjustRightInd w:val="0"/>
        <w:spacing w:after="0" w:line="240" w:lineRule="auto"/>
        <w:rPr>
          <w:rFonts w:ascii="Arial" w:hAnsi="Arial" w:cs="Arial"/>
          <w:b/>
          <w:bCs/>
          <w:sz w:val="18"/>
          <w:szCs w:val="18"/>
        </w:rPr>
      </w:pPr>
      <w:r w:rsidRPr="003C5CF1">
        <w:rPr>
          <w:rFonts w:ascii="Arial" w:hAnsi="Arial" w:cs="Arial"/>
          <w:b/>
          <w:bCs/>
          <w:sz w:val="18"/>
          <w:szCs w:val="18"/>
        </w:rPr>
        <w:t>Reason Statement:</w:t>
      </w:r>
      <w:r w:rsidR="003C5CF1">
        <w:rPr>
          <w:rFonts w:ascii="Arial" w:hAnsi="Arial" w:cs="Arial"/>
          <w:b/>
          <w:bCs/>
          <w:sz w:val="18"/>
          <w:szCs w:val="18"/>
        </w:rPr>
        <w:t xml:space="preserve"> </w:t>
      </w:r>
      <w:r w:rsidRPr="003C5CF1">
        <w:rPr>
          <w:rFonts w:ascii="Arial" w:hAnsi="Arial" w:cs="Arial"/>
          <w:sz w:val="18"/>
          <w:szCs w:val="18"/>
        </w:rPr>
        <w:t>Thermal Distribution System Efficiency (TDSE) defined in Section R202 is inconsistent with the term (DSE) used in Table R405.4.2(1).</w:t>
      </w:r>
      <w:r w:rsidR="003C5CF1">
        <w:rPr>
          <w:rFonts w:ascii="Arial" w:hAnsi="Arial" w:cs="Arial"/>
          <w:b/>
          <w:bCs/>
          <w:sz w:val="18"/>
          <w:szCs w:val="18"/>
        </w:rPr>
        <w:t xml:space="preserve"> </w:t>
      </w:r>
      <w:r w:rsidRPr="003C5CF1">
        <w:rPr>
          <w:rFonts w:ascii="Arial" w:hAnsi="Arial" w:cs="Arial"/>
          <w:sz w:val="18"/>
          <w:szCs w:val="18"/>
        </w:rPr>
        <w:t>The change to Distribution System Efficiency (DSE) is to provide consistency. This definition is from the ASHRAE Standard 152, a</w:t>
      </w:r>
      <w:r w:rsidR="003C5CF1">
        <w:rPr>
          <w:rFonts w:ascii="Arial" w:hAnsi="Arial" w:cs="Arial"/>
          <w:b/>
          <w:bCs/>
          <w:sz w:val="18"/>
          <w:szCs w:val="18"/>
        </w:rPr>
        <w:t xml:space="preserve"> </w:t>
      </w:r>
      <w:r w:rsidRPr="003C5CF1">
        <w:rPr>
          <w:rFonts w:ascii="Arial" w:hAnsi="Arial" w:cs="Arial"/>
          <w:sz w:val="18"/>
          <w:szCs w:val="18"/>
        </w:rPr>
        <w:t>consensus standard titled “Method of Test for Determining the</w:t>
      </w:r>
      <w:r w:rsidR="003C5CF1">
        <w:rPr>
          <w:rFonts w:ascii="Arial" w:hAnsi="Arial" w:cs="Arial"/>
          <w:sz w:val="18"/>
          <w:szCs w:val="18"/>
        </w:rPr>
        <w:t xml:space="preserve"> </w:t>
      </w:r>
      <w:r w:rsidRPr="003C5CF1">
        <w:rPr>
          <w:rFonts w:ascii="Arial" w:hAnsi="Arial" w:cs="Arial"/>
          <w:sz w:val="18"/>
          <w:szCs w:val="18"/>
        </w:rPr>
        <w:t>Design and Seasonal Efficiencies of Residential Thermal Distribution</w:t>
      </w:r>
      <w:r w:rsidR="003C5CF1">
        <w:rPr>
          <w:rFonts w:ascii="Arial" w:hAnsi="Arial" w:cs="Arial"/>
          <w:b/>
          <w:bCs/>
          <w:sz w:val="18"/>
          <w:szCs w:val="18"/>
        </w:rPr>
        <w:t xml:space="preserve"> </w:t>
      </w:r>
      <w:r w:rsidRPr="003C5CF1">
        <w:rPr>
          <w:rFonts w:ascii="Arial" w:hAnsi="Arial" w:cs="Arial"/>
          <w:sz w:val="18"/>
          <w:szCs w:val="18"/>
        </w:rPr>
        <w:t>Systems.”</w:t>
      </w:r>
      <w:r w:rsidR="003C5CF1">
        <w:rPr>
          <w:rFonts w:ascii="Arial" w:hAnsi="Arial" w:cs="Arial"/>
          <w:b/>
          <w:bCs/>
          <w:sz w:val="18"/>
          <w:szCs w:val="18"/>
        </w:rPr>
        <w:t xml:space="preserve"> </w:t>
      </w:r>
    </w:p>
    <w:p w14:paraId="1C2E72F3" w14:textId="72D38871" w:rsidR="000F58BD" w:rsidRDefault="000F58BD" w:rsidP="000F58BD">
      <w:pPr>
        <w:autoSpaceDE w:val="0"/>
        <w:autoSpaceDN w:val="0"/>
        <w:adjustRightInd w:val="0"/>
        <w:spacing w:after="0" w:line="240" w:lineRule="auto"/>
        <w:rPr>
          <w:rFonts w:ascii="Arial" w:hAnsi="Arial" w:cs="Arial"/>
          <w:sz w:val="18"/>
          <w:szCs w:val="18"/>
        </w:rPr>
      </w:pPr>
      <w:r w:rsidRPr="003C5CF1">
        <w:rPr>
          <w:rFonts w:ascii="Arial" w:hAnsi="Arial" w:cs="Arial"/>
          <w:b/>
          <w:bCs/>
          <w:sz w:val="18"/>
          <w:szCs w:val="18"/>
        </w:rPr>
        <w:t>Bibliography:</w:t>
      </w:r>
      <w:r w:rsidR="003C5CF1">
        <w:rPr>
          <w:rFonts w:ascii="Arial" w:hAnsi="Arial" w:cs="Arial"/>
          <w:b/>
          <w:bCs/>
          <w:sz w:val="18"/>
          <w:szCs w:val="18"/>
        </w:rPr>
        <w:t xml:space="preserve"> </w:t>
      </w:r>
      <w:r w:rsidRPr="003C5CF1">
        <w:rPr>
          <w:rFonts w:ascii="Arial" w:hAnsi="Arial" w:cs="Arial"/>
          <w:sz w:val="18"/>
          <w:szCs w:val="18"/>
        </w:rPr>
        <w:t>ANSI/ASHRAE Standard 152-2014: Method Of Test For Determining The Design And Seasonal Efficiencies Of Residential Thermal</w:t>
      </w:r>
      <w:r w:rsidR="003C5CF1">
        <w:rPr>
          <w:rFonts w:ascii="Arial" w:hAnsi="Arial" w:cs="Arial"/>
          <w:b/>
          <w:bCs/>
          <w:sz w:val="18"/>
          <w:szCs w:val="18"/>
        </w:rPr>
        <w:t xml:space="preserve"> </w:t>
      </w:r>
      <w:r w:rsidRPr="003C5CF1">
        <w:rPr>
          <w:rFonts w:ascii="Arial" w:hAnsi="Arial" w:cs="Arial"/>
          <w:sz w:val="18"/>
          <w:szCs w:val="18"/>
        </w:rPr>
        <w:t>Distribution Systems, ASHRAE,</w:t>
      </w:r>
      <w:r w:rsidR="003C5CF1">
        <w:rPr>
          <w:rFonts w:ascii="Arial" w:hAnsi="Arial" w:cs="Arial"/>
          <w:sz w:val="18"/>
          <w:szCs w:val="18"/>
        </w:rPr>
        <w:t xml:space="preserve"> </w:t>
      </w:r>
      <w:hyperlink r:id="rId7" w:history="1">
        <w:r w:rsidR="003C5CF1" w:rsidRPr="00EB0590">
          <w:rPr>
            <w:rStyle w:val="Hyperlink"/>
            <w:rFonts w:ascii="Arial" w:hAnsi="Arial" w:cs="Arial"/>
            <w:sz w:val="18"/>
            <w:szCs w:val="18"/>
          </w:rPr>
          <w:t>https://webstore.ansi.org/standards/ashrae/ansiashraestandard1522014</w:t>
        </w:r>
      </w:hyperlink>
      <w:r w:rsidR="003C5CF1">
        <w:rPr>
          <w:rFonts w:ascii="Arial" w:hAnsi="Arial" w:cs="Arial"/>
          <w:sz w:val="18"/>
          <w:szCs w:val="18"/>
        </w:rPr>
        <w:t>.</w:t>
      </w:r>
    </w:p>
    <w:p w14:paraId="3F65A59C" w14:textId="5959FA5D" w:rsidR="00DA401B" w:rsidRDefault="000F58BD" w:rsidP="003C5CF1">
      <w:pPr>
        <w:autoSpaceDE w:val="0"/>
        <w:autoSpaceDN w:val="0"/>
        <w:adjustRightInd w:val="0"/>
        <w:spacing w:after="0" w:line="240" w:lineRule="auto"/>
        <w:rPr>
          <w:rFonts w:ascii="Arial" w:hAnsi="Arial" w:cs="Arial"/>
          <w:sz w:val="18"/>
          <w:szCs w:val="18"/>
        </w:rPr>
      </w:pPr>
      <w:r w:rsidRPr="003C5CF1">
        <w:rPr>
          <w:rFonts w:ascii="Arial" w:hAnsi="Arial" w:cs="Arial"/>
          <w:b/>
          <w:bCs/>
          <w:sz w:val="18"/>
          <w:szCs w:val="18"/>
        </w:rPr>
        <w:t>Cost Impact:</w:t>
      </w:r>
      <w:r w:rsidR="003C5CF1" w:rsidRPr="003C5CF1">
        <w:rPr>
          <w:rFonts w:ascii="Arial" w:hAnsi="Arial" w:cs="Arial"/>
          <w:b/>
          <w:bCs/>
          <w:sz w:val="18"/>
          <w:szCs w:val="18"/>
        </w:rPr>
        <w:t xml:space="preserve"> </w:t>
      </w:r>
      <w:r w:rsidRPr="003C5CF1">
        <w:rPr>
          <w:rFonts w:ascii="Arial" w:hAnsi="Arial" w:cs="Arial"/>
          <w:sz w:val="18"/>
          <w:szCs w:val="18"/>
        </w:rPr>
        <w:t>This proposal does not increase the cost of construction.</w:t>
      </w:r>
    </w:p>
    <w:p w14:paraId="6BE6A4FD" w14:textId="0A546AA2" w:rsidR="009460FF" w:rsidRDefault="009460FF" w:rsidP="003C5CF1">
      <w:pPr>
        <w:autoSpaceDE w:val="0"/>
        <w:autoSpaceDN w:val="0"/>
        <w:adjustRightInd w:val="0"/>
        <w:spacing w:after="0" w:line="240" w:lineRule="auto"/>
        <w:rPr>
          <w:rFonts w:ascii="Arial" w:hAnsi="Arial" w:cs="Arial"/>
          <w:sz w:val="18"/>
          <w:szCs w:val="18"/>
        </w:rPr>
      </w:pPr>
    </w:p>
    <w:p w14:paraId="38FE090A" w14:textId="77777777" w:rsidR="00667F28" w:rsidRDefault="00667F28">
      <w:pPr>
        <w:rPr>
          <w:rFonts w:ascii="Arial" w:hAnsi="Arial" w:cs="Arial"/>
          <w:b/>
          <w:bCs/>
          <w:sz w:val="20"/>
          <w:szCs w:val="20"/>
          <w:highlight w:val="yellow"/>
        </w:rPr>
      </w:pPr>
      <w:r>
        <w:rPr>
          <w:rFonts w:ascii="Arial" w:hAnsi="Arial" w:cs="Arial"/>
          <w:b/>
          <w:bCs/>
          <w:sz w:val="20"/>
          <w:szCs w:val="20"/>
          <w:highlight w:val="yellow"/>
        </w:rPr>
        <w:br w:type="page"/>
      </w:r>
    </w:p>
    <w:p w14:paraId="6025BEFE" w14:textId="5DF5C7C7" w:rsidR="009460FF" w:rsidRDefault="009460FF" w:rsidP="009460FF">
      <w:pPr>
        <w:autoSpaceDE w:val="0"/>
        <w:autoSpaceDN w:val="0"/>
        <w:adjustRightInd w:val="0"/>
        <w:spacing w:after="0" w:line="240" w:lineRule="auto"/>
        <w:rPr>
          <w:rFonts w:ascii="Arial" w:hAnsi="Arial" w:cs="Arial"/>
          <w:b/>
          <w:bCs/>
          <w:sz w:val="20"/>
          <w:szCs w:val="20"/>
        </w:rPr>
      </w:pPr>
      <w:r w:rsidRPr="000C58FA">
        <w:rPr>
          <w:rFonts w:ascii="Arial" w:hAnsi="Arial" w:cs="Arial"/>
          <w:b/>
          <w:bCs/>
          <w:sz w:val="20"/>
          <w:szCs w:val="20"/>
          <w:highlight w:val="yellow"/>
        </w:rPr>
        <w:lastRenderedPageBreak/>
        <w:t>Working Group Recommendation:</w:t>
      </w:r>
      <w:r w:rsidRPr="000C58FA">
        <w:rPr>
          <w:rFonts w:ascii="Arial" w:hAnsi="Arial" w:cs="Arial"/>
          <w:b/>
          <w:bCs/>
          <w:sz w:val="20"/>
          <w:szCs w:val="20"/>
        </w:rPr>
        <w:t xml:space="preserve"> </w:t>
      </w:r>
      <w:r w:rsidR="00667F28">
        <w:rPr>
          <w:rFonts w:ascii="Arial" w:hAnsi="Arial" w:cs="Arial"/>
          <w:b/>
          <w:bCs/>
          <w:sz w:val="20"/>
          <w:szCs w:val="20"/>
        </w:rPr>
        <w:t xml:space="preserve"> Accept as modified by WG</w:t>
      </w:r>
      <w:r w:rsidRPr="000C58FA">
        <w:rPr>
          <w:rFonts w:ascii="Arial" w:hAnsi="Arial" w:cs="Arial"/>
          <w:b/>
          <w:bCs/>
          <w:sz w:val="20"/>
          <w:szCs w:val="20"/>
        </w:rPr>
        <w:t>.</w:t>
      </w:r>
      <w:r w:rsidR="00667F28">
        <w:rPr>
          <w:rFonts w:ascii="Arial" w:hAnsi="Arial" w:cs="Arial"/>
          <w:b/>
          <w:bCs/>
          <w:sz w:val="20"/>
          <w:szCs w:val="20"/>
        </w:rPr>
        <w:t xml:space="preserve"> </w:t>
      </w:r>
    </w:p>
    <w:p w14:paraId="068C116B" w14:textId="4684E1C7" w:rsidR="00667F28" w:rsidRDefault="00667F28" w:rsidP="009460FF">
      <w:pPr>
        <w:autoSpaceDE w:val="0"/>
        <w:autoSpaceDN w:val="0"/>
        <w:adjustRightInd w:val="0"/>
        <w:spacing w:after="0" w:line="240" w:lineRule="auto"/>
        <w:rPr>
          <w:rFonts w:ascii="Arial" w:hAnsi="Arial" w:cs="Arial"/>
          <w:b/>
          <w:bCs/>
          <w:sz w:val="20"/>
          <w:szCs w:val="20"/>
        </w:rPr>
      </w:pPr>
    </w:p>
    <w:p w14:paraId="26549DF6" w14:textId="7756C5F0" w:rsidR="007A2B82" w:rsidRPr="007A2B82" w:rsidRDefault="007A2B82" w:rsidP="007A2B82">
      <w:pPr>
        <w:pStyle w:val="NormalWeb"/>
        <w:spacing w:before="0" w:beforeAutospacing="0" w:after="0" w:afterAutospacing="0"/>
        <w:rPr>
          <w:sz w:val="20"/>
          <w:szCs w:val="20"/>
        </w:rPr>
      </w:pPr>
      <w:r w:rsidRPr="007A2B82">
        <w:rPr>
          <w:b/>
          <w:bCs/>
          <w:sz w:val="20"/>
          <w:szCs w:val="20"/>
        </w:rPr>
        <w:t>THERMAL DISTRIBUTION EFFICIENCY (TDE).</w:t>
      </w:r>
      <w:r w:rsidRPr="007A2B82">
        <w:rPr>
          <w:sz w:val="20"/>
          <w:szCs w:val="20"/>
        </w:rPr>
        <w:t xml:space="preserve"> The resistance to changes in air heat as air is conveyed through a distance of air duct. TDE is a heat loss calculation evaluating the difference in the heat of the air between the air duct inlet and outlet caused by differences in temperatures between the air in the duct and the duct material. TDE is expressed as a percent difference between the inlet and outlet heat in the duct. </w:t>
      </w:r>
      <w:r w:rsidRPr="007A2B82">
        <w:rPr>
          <w:sz w:val="20"/>
          <w:szCs w:val="20"/>
          <w:highlight w:val="cyan"/>
        </w:rPr>
        <w:t xml:space="preserve">This is </w:t>
      </w:r>
      <w:r>
        <w:rPr>
          <w:sz w:val="20"/>
          <w:szCs w:val="20"/>
          <w:highlight w:val="cyan"/>
        </w:rPr>
        <w:t xml:space="preserve">back to </w:t>
      </w:r>
      <w:r w:rsidRPr="007A2B82">
        <w:rPr>
          <w:sz w:val="20"/>
          <w:szCs w:val="20"/>
          <w:highlight w:val="cyan"/>
        </w:rPr>
        <w:t>the definition that is in the 2021 IECC.</w:t>
      </w:r>
    </w:p>
    <w:p w14:paraId="173CAB3B" w14:textId="77777777" w:rsidR="007A2B82" w:rsidRPr="0087281B" w:rsidRDefault="007A2B82" w:rsidP="007A2B82">
      <w:pPr>
        <w:pStyle w:val="NormalWeb"/>
        <w:spacing w:before="0" w:beforeAutospacing="0" w:after="0" w:afterAutospacing="0"/>
        <w:rPr>
          <w:sz w:val="20"/>
          <w:szCs w:val="20"/>
        </w:rPr>
      </w:pPr>
    </w:p>
    <w:p w14:paraId="0D81A724" w14:textId="656D8737" w:rsidR="007A2B82" w:rsidRPr="006B088A" w:rsidRDefault="007A2B82" w:rsidP="007A2B82">
      <w:pPr>
        <w:pStyle w:val="NormalWeb"/>
        <w:spacing w:before="0" w:beforeAutospacing="0" w:after="0" w:afterAutospacing="0"/>
        <w:rPr>
          <w:strike/>
          <w:sz w:val="20"/>
          <w:szCs w:val="20"/>
        </w:rPr>
      </w:pPr>
      <w:r w:rsidRPr="007401AF">
        <w:rPr>
          <w:b/>
          <w:bCs/>
          <w:sz w:val="20"/>
          <w:szCs w:val="20"/>
        </w:rPr>
        <w:t>DISTRIBUTION SYSTEM EFFICIENCY (DSE).</w:t>
      </w:r>
      <w:r w:rsidRPr="007401AF">
        <w:rPr>
          <w:sz w:val="20"/>
          <w:szCs w:val="20"/>
        </w:rPr>
        <w:t xml:space="preserve"> The</w:t>
      </w:r>
      <w:r w:rsidRPr="006B088A">
        <w:rPr>
          <w:strike/>
          <w:sz w:val="20"/>
          <w:szCs w:val="20"/>
        </w:rPr>
        <w:t xml:space="preserve"> ratio of the thermal energy transferred to or from the conditioned space to the thermal energy transferred at the equipment distribution system heat exchanger. Energy delivered to or from the conditioned space includes distribution system losses to the conditioned space. </w:t>
      </w:r>
    </w:p>
    <w:p w14:paraId="41F5C61A" w14:textId="46AC4CD2" w:rsidR="007A2B82" w:rsidRDefault="006B088A" w:rsidP="007401AF">
      <w:pPr>
        <w:pStyle w:val="NormalWeb"/>
        <w:spacing w:before="0" w:beforeAutospacing="0" w:after="0" w:afterAutospacing="0"/>
        <w:rPr>
          <w:sz w:val="20"/>
          <w:szCs w:val="20"/>
          <w:u w:val="single"/>
        </w:rPr>
      </w:pPr>
      <w:r w:rsidRPr="006B088A">
        <w:rPr>
          <w:sz w:val="20"/>
          <w:szCs w:val="20"/>
          <w:u w:val="single"/>
        </w:rPr>
        <w:t>A system efficiency factor that adjusts for the energy losses associated with delivery of energy from the equipment to the source of the load.</w:t>
      </w:r>
    </w:p>
    <w:p w14:paraId="5B0BEFB3" w14:textId="77777777" w:rsidR="007401AF" w:rsidRPr="007401AF" w:rsidRDefault="007401AF" w:rsidP="007401AF">
      <w:pPr>
        <w:pStyle w:val="NormalWeb"/>
        <w:spacing w:before="0" w:beforeAutospacing="0" w:after="0" w:afterAutospacing="0"/>
        <w:rPr>
          <w:sz w:val="20"/>
          <w:szCs w:val="20"/>
          <w:u w:val="single"/>
        </w:rPr>
      </w:pPr>
    </w:p>
    <w:p w14:paraId="0CBDABDD" w14:textId="77777777" w:rsidR="007A2B82" w:rsidRDefault="007A2B82" w:rsidP="007A2B82">
      <w:pPr>
        <w:rPr>
          <w:rFonts w:ascii="TimesNewRoman,Bold" w:eastAsia="Times New Roman" w:hAnsi="TimesNewRoman,Bold" w:cs="Times New Roman"/>
          <w:sz w:val="20"/>
          <w:szCs w:val="20"/>
        </w:rPr>
      </w:pPr>
      <w:r w:rsidRPr="00C253A7">
        <w:rPr>
          <w:rFonts w:ascii="TimesNewRoman,Bold" w:eastAsia="Times New Roman" w:hAnsi="TimesNewRoman,Bold" w:cs="Times New Roman"/>
          <w:sz w:val="20"/>
          <w:szCs w:val="20"/>
        </w:rPr>
        <w:t xml:space="preserve">N1103.3.1 (R403.3.1) Ducts located outside conditioned space. </w:t>
      </w:r>
    </w:p>
    <w:p w14:paraId="45C3B22C" w14:textId="7C66917C" w:rsidR="007A2B82" w:rsidRDefault="007A2B82" w:rsidP="007401AF">
      <w:pPr>
        <w:pStyle w:val="NormalWeb"/>
        <w:spacing w:before="0" w:beforeAutospacing="0" w:after="0" w:afterAutospacing="0"/>
        <w:rPr>
          <w:sz w:val="20"/>
          <w:szCs w:val="20"/>
        </w:rPr>
      </w:pPr>
      <w:r w:rsidRPr="00C253A7">
        <w:rPr>
          <w:rFonts w:ascii="TimesNewRoman" w:hAnsi="TimesNewRoman"/>
          <w:sz w:val="20"/>
          <w:szCs w:val="20"/>
        </w:rPr>
        <w:t xml:space="preserve">Supply and return ducts located outside </w:t>
      </w:r>
      <w:r w:rsidRPr="00C253A7">
        <w:rPr>
          <w:rFonts w:ascii="TimesNewRoman,Italic" w:hAnsi="TimesNewRoman,Italic"/>
          <w:sz w:val="20"/>
          <w:szCs w:val="20"/>
        </w:rPr>
        <w:t xml:space="preserve">conditioned space </w:t>
      </w:r>
      <w:r w:rsidRPr="00C253A7">
        <w:rPr>
          <w:rFonts w:ascii="TimesNewRoman" w:hAnsi="TimesNewRoman"/>
          <w:sz w:val="20"/>
          <w:szCs w:val="20"/>
        </w:rPr>
        <w:t xml:space="preserve">shall be insulated to an </w:t>
      </w:r>
      <w:r w:rsidRPr="00C253A7">
        <w:rPr>
          <w:rFonts w:ascii="TimesNewRoman,Italic" w:hAnsi="TimesNewRoman,Italic"/>
          <w:sz w:val="20"/>
          <w:szCs w:val="20"/>
        </w:rPr>
        <w:t>R</w:t>
      </w:r>
      <w:r w:rsidRPr="00C253A7">
        <w:rPr>
          <w:rFonts w:ascii="TimesNewRoman" w:hAnsi="TimesNewRoman"/>
          <w:sz w:val="20"/>
          <w:szCs w:val="20"/>
        </w:rPr>
        <w:t xml:space="preserve">-value of not less than R-8 for ducts 3 inches (76 mm) in diameter and larger and not less than R-6 for ducts smaller than 3 inches (76 mm) in diameter. Ducts buried beneath a building shall be insulated as required by this section or have an equivalent </w:t>
      </w:r>
      <w:r w:rsidRPr="007A2B82">
        <w:rPr>
          <w:rFonts w:ascii="TimesNewRoman" w:hAnsi="TimesNewRoman"/>
          <w:sz w:val="20"/>
          <w:szCs w:val="20"/>
        </w:rPr>
        <w:t>thermal distribution efficiency</w:t>
      </w:r>
      <w:r w:rsidRPr="00C253A7">
        <w:rPr>
          <w:rFonts w:ascii="TimesNewRoman" w:hAnsi="TimesNewRoman"/>
          <w:sz w:val="20"/>
          <w:szCs w:val="20"/>
        </w:rPr>
        <w:t xml:space="preserve">. Underground ducts utilizing the </w:t>
      </w:r>
      <w:r w:rsidRPr="007A2B82">
        <w:rPr>
          <w:rFonts w:ascii="TimesNewRoman" w:hAnsi="TimesNewRoman"/>
          <w:i/>
          <w:iCs/>
          <w:sz w:val="20"/>
          <w:szCs w:val="20"/>
          <w:highlight w:val="yellow"/>
        </w:rPr>
        <w:t>thermal</w:t>
      </w:r>
      <w:r w:rsidRPr="00324BC4">
        <w:rPr>
          <w:rFonts w:ascii="TimesNewRoman" w:hAnsi="TimesNewRoman"/>
          <w:sz w:val="20"/>
          <w:szCs w:val="20"/>
          <w:highlight w:val="yellow"/>
        </w:rPr>
        <w:t xml:space="preserve"> </w:t>
      </w:r>
      <w:r w:rsidRPr="00324BC4">
        <w:rPr>
          <w:rFonts w:ascii="TimesNewRoman" w:hAnsi="TimesNewRoman"/>
          <w:i/>
          <w:iCs/>
          <w:sz w:val="20"/>
          <w:szCs w:val="20"/>
          <w:highlight w:val="yellow"/>
        </w:rPr>
        <w:t xml:space="preserve">distribution </w:t>
      </w:r>
      <w:r w:rsidRPr="007A2B82">
        <w:rPr>
          <w:rFonts w:ascii="TimesNewRoman" w:hAnsi="TimesNewRoman"/>
          <w:i/>
          <w:iCs/>
          <w:strike/>
          <w:sz w:val="20"/>
          <w:szCs w:val="20"/>
          <w:highlight w:val="yellow"/>
        </w:rPr>
        <w:t>system</w:t>
      </w:r>
      <w:r w:rsidRPr="00324BC4">
        <w:rPr>
          <w:rFonts w:ascii="TimesNewRoman" w:hAnsi="TimesNewRoman"/>
          <w:i/>
          <w:iCs/>
          <w:sz w:val="20"/>
          <w:szCs w:val="20"/>
          <w:highlight w:val="yellow"/>
        </w:rPr>
        <w:t xml:space="preserve"> efficiency</w:t>
      </w:r>
      <w:r w:rsidRPr="00C253A7">
        <w:rPr>
          <w:rFonts w:ascii="TimesNewRoman" w:hAnsi="TimesNewRoman"/>
          <w:sz w:val="20"/>
          <w:szCs w:val="20"/>
        </w:rPr>
        <w:t xml:space="preserve"> method shall be listed and </w:t>
      </w:r>
      <w:r w:rsidRPr="00C253A7">
        <w:rPr>
          <w:rFonts w:ascii="TimesNewRoman,Italic" w:hAnsi="TimesNewRoman,Italic"/>
          <w:sz w:val="20"/>
          <w:szCs w:val="20"/>
        </w:rPr>
        <w:t xml:space="preserve">labeled </w:t>
      </w:r>
      <w:r w:rsidRPr="00C253A7">
        <w:rPr>
          <w:rFonts w:ascii="TimesNewRoman" w:hAnsi="TimesNewRoman"/>
          <w:sz w:val="20"/>
          <w:szCs w:val="20"/>
        </w:rPr>
        <w:t xml:space="preserve">to indicate the </w:t>
      </w:r>
      <w:r w:rsidRPr="00C253A7">
        <w:rPr>
          <w:rFonts w:ascii="TimesNewRoman,Italic" w:hAnsi="TimesNewRoman,Italic"/>
          <w:sz w:val="20"/>
          <w:szCs w:val="20"/>
        </w:rPr>
        <w:t>R</w:t>
      </w:r>
      <w:r w:rsidRPr="00C253A7">
        <w:rPr>
          <w:rFonts w:ascii="TimesNewRoman" w:hAnsi="TimesNewRoman"/>
          <w:sz w:val="20"/>
          <w:szCs w:val="20"/>
        </w:rPr>
        <w:t xml:space="preserve">-value equivalency. </w:t>
      </w:r>
      <w:r w:rsidRPr="007A2B82">
        <w:rPr>
          <w:sz w:val="20"/>
          <w:szCs w:val="20"/>
          <w:highlight w:val="cyan"/>
        </w:rPr>
        <w:t xml:space="preserve">This </w:t>
      </w:r>
      <w:r>
        <w:rPr>
          <w:sz w:val="20"/>
          <w:szCs w:val="20"/>
          <w:highlight w:val="cyan"/>
        </w:rPr>
        <w:t>returns the wording</w:t>
      </w:r>
      <w:r w:rsidRPr="007A2B82">
        <w:rPr>
          <w:sz w:val="20"/>
          <w:szCs w:val="20"/>
          <w:highlight w:val="cyan"/>
        </w:rPr>
        <w:t xml:space="preserve"> </w:t>
      </w:r>
      <w:r>
        <w:rPr>
          <w:sz w:val="20"/>
          <w:szCs w:val="20"/>
          <w:highlight w:val="cyan"/>
        </w:rPr>
        <w:t>back to what</w:t>
      </w:r>
      <w:r w:rsidRPr="007A2B82">
        <w:rPr>
          <w:sz w:val="20"/>
          <w:szCs w:val="20"/>
          <w:highlight w:val="cyan"/>
        </w:rPr>
        <w:t xml:space="preserve"> is in the 2021 IECC.</w:t>
      </w:r>
    </w:p>
    <w:p w14:paraId="05E83EA8" w14:textId="77777777" w:rsidR="007401AF" w:rsidRPr="007401AF" w:rsidRDefault="007401AF" w:rsidP="007401AF">
      <w:pPr>
        <w:pStyle w:val="NormalWeb"/>
        <w:spacing w:before="0" w:beforeAutospacing="0" w:after="0" w:afterAutospacing="0"/>
        <w:rPr>
          <w:sz w:val="20"/>
          <w:szCs w:val="20"/>
        </w:rPr>
      </w:pPr>
    </w:p>
    <w:p w14:paraId="17870184" w14:textId="522FE702" w:rsidR="007A2B82" w:rsidRPr="007401AF" w:rsidRDefault="007A2B82" w:rsidP="007401AF">
      <w:pPr>
        <w:jc w:val="center"/>
        <w:rPr>
          <w:rFonts w:ascii="Arial" w:hAnsi="Arial" w:cs="Arial"/>
          <w:b/>
          <w:bCs/>
          <w:color w:val="000000"/>
          <w:sz w:val="18"/>
          <w:szCs w:val="18"/>
        </w:rPr>
      </w:pPr>
      <w:r w:rsidRPr="007401AF">
        <w:rPr>
          <w:rFonts w:ascii="Arial" w:hAnsi="Arial" w:cs="Arial"/>
          <w:b/>
          <w:bCs/>
          <w:color w:val="000000"/>
          <w:sz w:val="18"/>
          <w:szCs w:val="18"/>
        </w:rPr>
        <w:t>TABLE N1105.4.2(1) [R405.4.2(1)]</w:t>
      </w:r>
      <w:r w:rsidR="007401AF" w:rsidRPr="007401AF">
        <w:rPr>
          <w:rFonts w:ascii="Arial" w:hAnsi="Arial" w:cs="Arial"/>
          <w:b/>
          <w:bCs/>
          <w:color w:val="000000"/>
          <w:sz w:val="18"/>
          <w:szCs w:val="18"/>
        </w:rPr>
        <w:br/>
      </w:r>
      <w:r w:rsidRPr="007401AF">
        <w:rPr>
          <w:rFonts w:ascii="Arial" w:hAnsi="Arial" w:cs="Arial"/>
          <w:b/>
          <w:bCs/>
          <w:color w:val="000000"/>
          <w:sz w:val="18"/>
          <w:szCs w:val="18"/>
        </w:rPr>
        <w:t>SPECIFICATIONS FOR THE STANDARD REFERENCE AND PROPOSED DESIGNS</w:t>
      </w:r>
    </w:p>
    <w:tbl>
      <w:tblPr>
        <w:tblW w:w="0" w:type="auto"/>
        <w:tblInd w:w="-8" w:type="dxa"/>
        <w:tblCellMar>
          <w:left w:w="0" w:type="dxa"/>
          <w:right w:w="0" w:type="dxa"/>
        </w:tblCellMar>
        <w:tblLook w:val="04A0" w:firstRow="1" w:lastRow="0" w:firstColumn="1" w:lastColumn="0" w:noHBand="0" w:noVBand="1"/>
      </w:tblPr>
      <w:tblGrid>
        <w:gridCol w:w="1528"/>
        <w:gridCol w:w="4950"/>
        <w:gridCol w:w="2870"/>
      </w:tblGrid>
      <w:tr w:rsidR="007A2B82" w:rsidRPr="00237C28" w14:paraId="4741AC8E" w14:textId="77777777" w:rsidTr="00D23D29">
        <w:tc>
          <w:tcPr>
            <w:tcW w:w="1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1F5BA" w14:textId="77777777" w:rsidR="007A2B82" w:rsidRPr="00237C28" w:rsidRDefault="007A2B82" w:rsidP="00D23D29">
            <w:pPr>
              <w:rPr>
                <w:rFonts w:ascii="Helvetica" w:hAnsi="Helvetica"/>
                <w:sz w:val="13"/>
                <w:szCs w:val="13"/>
              </w:rPr>
            </w:pPr>
            <w:r w:rsidRPr="00237C28">
              <w:rPr>
                <w:rFonts w:ascii="Arial" w:hAnsi="Arial" w:cs="Arial"/>
                <w:b/>
                <w:bCs/>
                <w:sz w:val="18"/>
                <w:szCs w:val="18"/>
              </w:rPr>
              <w:t>BUILDING</w:t>
            </w:r>
          </w:p>
          <w:p w14:paraId="097E6C7E" w14:textId="7F090BCD" w:rsidR="007A2B82" w:rsidRPr="007401AF" w:rsidRDefault="007A2B82" w:rsidP="00D23D29">
            <w:pPr>
              <w:rPr>
                <w:rFonts w:ascii="Helvetica" w:hAnsi="Helvetica"/>
                <w:sz w:val="13"/>
                <w:szCs w:val="13"/>
              </w:rPr>
            </w:pPr>
            <w:r w:rsidRPr="00237C28">
              <w:rPr>
                <w:rFonts w:ascii="Arial" w:hAnsi="Arial" w:cs="Arial"/>
                <w:b/>
                <w:bCs/>
                <w:sz w:val="18"/>
                <w:szCs w:val="18"/>
              </w:rPr>
              <w:t>COMPONENT</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14E508" w14:textId="77777777" w:rsidR="007A2B82" w:rsidRPr="00237C28" w:rsidRDefault="007A2B82" w:rsidP="00D23D29">
            <w:pPr>
              <w:rPr>
                <w:rFonts w:ascii="Helvetica" w:hAnsi="Helvetica"/>
                <w:sz w:val="13"/>
                <w:szCs w:val="13"/>
              </w:rPr>
            </w:pPr>
            <w:r w:rsidRPr="00237C28">
              <w:rPr>
                <w:rFonts w:ascii="Arial" w:hAnsi="Arial" w:cs="Arial"/>
                <w:b/>
                <w:bCs/>
                <w:sz w:val="18"/>
                <w:szCs w:val="18"/>
              </w:rPr>
              <w:t>STANDARD REFERENCE DESIGN</w:t>
            </w:r>
          </w:p>
          <w:p w14:paraId="06A333C9" w14:textId="77777777" w:rsidR="007A2B82" w:rsidRPr="00237C28" w:rsidRDefault="007A2B82" w:rsidP="00D23D29">
            <w:pPr>
              <w:rPr>
                <w:rFonts w:ascii="Calibri" w:hAnsi="Calibri" w:cs="Calibri"/>
              </w:rPr>
            </w:pPr>
            <w:r w:rsidRPr="00237C28">
              <w:rPr>
                <w:rFonts w:ascii="Arial" w:hAnsi="Arial" w:cs="Arial"/>
                <w:b/>
                <w:bCs/>
                <w:sz w:val="18"/>
                <w:szCs w:val="18"/>
              </w:rPr>
              <w:t> </w:t>
            </w:r>
          </w:p>
        </w:tc>
        <w:tc>
          <w:tcPr>
            <w:tcW w:w="2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064B42" w14:textId="77777777" w:rsidR="007A2B82" w:rsidRPr="00237C28" w:rsidRDefault="007A2B82" w:rsidP="00D23D29">
            <w:pPr>
              <w:rPr>
                <w:rFonts w:ascii="Helvetica" w:hAnsi="Helvetica"/>
                <w:sz w:val="13"/>
                <w:szCs w:val="13"/>
              </w:rPr>
            </w:pPr>
            <w:r w:rsidRPr="00237C28">
              <w:rPr>
                <w:rFonts w:ascii="Arial" w:hAnsi="Arial" w:cs="Arial"/>
                <w:b/>
                <w:bCs/>
                <w:sz w:val="18"/>
                <w:szCs w:val="18"/>
              </w:rPr>
              <w:t>PROPOSED</w:t>
            </w:r>
          </w:p>
          <w:p w14:paraId="2161FD5D" w14:textId="152CF538" w:rsidR="007A2B82" w:rsidRPr="007401AF" w:rsidRDefault="007A2B82" w:rsidP="00D23D29">
            <w:pPr>
              <w:rPr>
                <w:rFonts w:ascii="Helvetica" w:hAnsi="Helvetica"/>
                <w:sz w:val="13"/>
                <w:szCs w:val="13"/>
              </w:rPr>
            </w:pPr>
            <w:r w:rsidRPr="00237C28">
              <w:rPr>
                <w:rFonts w:ascii="Arial" w:hAnsi="Arial" w:cs="Arial"/>
                <w:b/>
                <w:bCs/>
                <w:sz w:val="18"/>
                <w:szCs w:val="18"/>
              </w:rPr>
              <w:t>DESIGN</w:t>
            </w:r>
          </w:p>
        </w:tc>
      </w:tr>
      <w:tr w:rsidR="007A2B82" w:rsidRPr="00237C28" w14:paraId="24163DA3" w14:textId="77777777" w:rsidTr="00D23D29">
        <w:tc>
          <w:tcPr>
            <w:tcW w:w="1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D584D" w14:textId="77777777" w:rsidR="007A2B82" w:rsidRPr="00237C28" w:rsidRDefault="007A2B82" w:rsidP="007401AF">
            <w:pPr>
              <w:rPr>
                <w:sz w:val="16"/>
                <w:szCs w:val="16"/>
              </w:rPr>
            </w:pPr>
          </w:p>
          <w:p w14:paraId="46F15E6F" w14:textId="77777777" w:rsidR="007A2B82" w:rsidRPr="00237C28" w:rsidRDefault="007A2B82" w:rsidP="00D23D29">
            <w:pPr>
              <w:jc w:val="center"/>
              <w:rPr>
                <w:sz w:val="16"/>
                <w:szCs w:val="16"/>
              </w:rPr>
            </w:pPr>
          </w:p>
          <w:p w14:paraId="34C0A7B5" w14:textId="77777777" w:rsidR="007A2B82" w:rsidRPr="00237C28" w:rsidRDefault="007A2B82" w:rsidP="00D23D29">
            <w:pPr>
              <w:jc w:val="center"/>
              <w:rPr>
                <w:sz w:val="16"/>
                <w:szCs w:val="16"/>
              </w:rPr>
            </w:pPr>
          </w:p>
          <w:p w14:paraId="5DEEAD5C" w14:textId="77777777" w:rsidR="007A2B82" w:rsidRPr="00237C28" w:rsidRDefault="007A2B82" w:rsidP="00D23D29">
            <w:pPr>
              <w:jc w:val="center"/>
              <w:rPr>
                <w:rFonts w:ascii="Times New Roman" w:hAnsi="Times New Roman" w:cs="Times New Roman"/>
                <w:sz w:val="16"/>
                <w:szCs w:val="16"/>
              </w:rPr>
            </w:pPr>
            <w:r w:rsidRPr="00237C28">
              <w:rPr>
                <w:rFonts w:ascii="Times New Roman" w:hAnsi="Times New Roman" w:cs="Times New Roman"/>
                <w:sz w:val="16"/>
                <w:szCs w:val="16"/>
              </w:rPr>
              <w:t>Thermal</w:t>
            </w:r>
          </w:p>
          <w:p w14:paraId="287D7DC3" w14:textId="77777777" w:rsidR="007A2B82" w:rsidRPr="00237C28" w:rsidRDefault="007A2B82" w:rsidP="00D23D29">
            <w:pPr>
              <w:jc w:val="center"/>
              <w:rPr>
                <w:rFonts w:ascii="Times New Roman" w:hAnsi="Times New Roman" w:cs="Times New Roman"/>
                <w:sz w:val="16"/>
                <w:szCs w:val="16"/>
              </w:rPr>
            </w:pPr>
            <w:r w:rsidRPr="00237C28">
              <w:rPr>
                <w:rFonts w:ascii="Times New Roman" w:hAnsi="Times New Roman" w:cs="Times New Roman"/>
                <w:sz w:val="16"/>
                <w:szCs w:val="16"/>
              </w:rPr>
              <w:t>distribution</w:t>
            </w:r>
          </w:p>
          <w:p w14:paraId="714E656C" w14:textId="77777777" w:rsidR="007A2B82" w:rsidRPr="00237C28" w:rsidRDefault="007A2B82" w:rsidP="00D23D29">
            <w:pPr>
              <w:jc w:val="center"/>
              <w:rPr>
                <w:rFonts w:ascii="Times New Roman" w:hAnsi="Times New Roman" w:cs="Times New Roman"/>
                <w:sz w:val="16"/>
                <w:szCs w:val="16"/>
              </w:rPr>
            </w:pPr>
            <w:r w:rsidRPr="00237C28">
              <w:rPr>
                <w:rFonts w:ascii="Times New Roman" w:hAnsi="Times New Roman" w:cs="Times New Roman"/>
                <w:sz w:val="16"/>
                <w:szCs w:val="16"/>
              </w:rPr>
              <w:t>systems</w:t>
            </w:r>
          </w:p>
          <w:p w14:paraId="6795DA4A" w14:textId="77777777" w:rsidR="007A2B82" w:rsidRPr="00237C28" w:rsidRDefault="007A2B82" w:rsidP="00D23D29">
            <w:pPr>
              <w:rPr>
                <w:rFonts w:ascii="Times New Roman" w:hAnsi="Times New Roman" w:cs="Times New Roman"/>
                <w:sz w:val="16"/>
                <w:szCs w:val="16"/>
              </w:rPr>
            </w:pP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223969A6" w14:textId="44B08EBA" w:rsidR="007A2B82" w:rsidRPr="007401AF" w:rsidRDefault="007A2B82" w:rsidP="00D23D29">
            <w:pPr>
              <w:rPr>
                <w:sz w:val="16"/>
                <w:szCs w:val="16"/>
              </w:rPr>
            </w:pPr>
            <w:r w:rsidRPr="00237C28">
              <w:rPr>
                <w:rFonts w:ascii="Times New Roman" w:hAnsi="Times New Roman" w:cs="Times New Roman"/>
                <w:sz w:val="16"/>
                <w:szCs w:val="16"/>
              </w:rPr>
              <w:t>Duct insulation: in accordance with Section R403.3.1.</w:t>
            </w:r>
          </w:p>
          <w:p w14:paraId="28C4EE15" w14:textId="44605388" w:rsidR="007A2B82" w:rsidRPr="007401AF" w:rsidRDefault="007A2B82" w:rsidP="00D23D29">
            <w:pPr>
              <w:rPr>
                <w:sz w:val="16"/>
                <w:szCs w:val="16"/>
              </w:rPr>
            </w:pPr>
            <w:r w:rsidRPr="00237C28">
              <w:rPr>
                <w:rFonts w:ascii="Times New Roman" w:hAnsi="Times New Roman" w:cs="Times New Roman"/>
                <w:sz w:val="16"/>
                <w:szCs w:val="16"/>
              </w:rPr>
              <w:t>A </w:t>
            </w:r>
            <w:r w:rsidRPr="00103A05">
              <w:rPr>
                <w:rFonts w:ascii="Times New Roman" w:hAnsi="Times New Roman" w:cs="Times New Roman"/>
                <w:sz w:val="16"/>
                <w:szCs w:val="16"/>
                <w:highlight w:val="yellow"/>
              </w:rPr>
              <w:t>thermal</w:t>
            </w:r>
            <w:r w:rsidRPr="00237C28">
              <w:rPr>
                <w:rFonts w:ascii="Times New Roman" w:hAnsi="Times New Roman" w:cs="Times New Roman"/>
                <w:sz w:val="16"/>
                <w:szCs w:val="16"/>
              </w:rPr>
              <w:t> distribution system efficiency (DSE) of 0.88 shall be applied to both the heating and cooling system efficiencies for all systems other than tested duct systems.</w:t>
            </w:r>
          </w:p>
          <w:p w14:paraId="45C1A96D" w14:textId="3E7159B4" w:rsidR="007A2B82" w:rsidRPr="007401AF" w:rsidRDefault="007A2B82" w:rsidP="00D23D29">
            <w:pPr>
              <w:rPr>
                <w:sz w:val="16"/>
                <w:szCs w:val="16"/>
              </w:rPr>
            </w:pPr>
            <w:r w:rsidRPr="00237C28">
              <w:rPr>
                <w:rFonts w:ascii="Times New Roman" w:hAnsi="Times New Roman" w:cs="Times New Roman"/>
                <w:sz w:val="16"/>
                <w:szCs w:val="16"/>
              </w:rPr>
              <w:t>Duct location: same as proposed design.</w:t>
            </w:r>
          </w:p>
          <w:p w14:paraId="318D830E" w14:textId="77777777" w:rsidR="007A2B82" w:rsidRPr="00237C28" w:rsidRDefault="007A2B82" w:rsidP="00D23D29">
            <w:pPr>
              <w:ind w:left="178"/>
              <w:rPr>
                <w:rFonts w:ascii="Times New Roman" w:hAnsi="Times New Roman" w:cs="Times New Roman"/>
                <w:sz w:val="16"/>
                <w:szCs w:val="16"/>
              </w:rPr>
            </w:pPr>
            <w:r w:rsidRPr="00237C28">
              <w:rPr>
                <w:rFonts w:ascii="Times New Roman" w:hAnsi="Times New Roman" w:cs="Times New Roman"/>
                <w:b/>
                <w:bCs/>
                <w:sz w:val="16"/>
                <w:szCs w:val="16"/>
              </w:rPr>
              <w:t>Exception</w:t>
            </w:r>
            <w:r w:rsidRPr="00237C28">
              <w:rPr>
                <w:rFonts w:ascii="Times New Roman" w:hAnsi="Times New Roman" w:cs="Times New Roman"/>
                <w:sz w:val="16"/>
                <w:szCs w:val="16"/>
              </w:rPr>
              <w:t xml:space="preserve">: For </w:t>
            </w:r>
            <w:proofErr w:type="spellStart"/>
            <w:r w:rsidRPr="00103A05">
              <w:rPr>
                <w:rFonts w:ascii="Times New Roman" w:hAnsi="Times New Roman" w:cs="Times New Roman"/>
                <w:sz w:val="16"/>
                <w:szCs w:val="16"/>
              </w:rPr>
              <w:t>nonducted</w:t>
            </w:r>
            <w:proofErr w:type="spellEnd"/>
            <w:r w:rsidRPr="00103A05">
              <w:rPr>
                <w:rFonts w:ascii="Times New Roman" w:hAnsi="Times New Roman" w:cs="Times New Roman"/>
                <w:sz w:val="16"/>
                <w:szCs w:val="16"/>
              </w:rPr>
              <w:t xml:space="preserve"> heating and cooling systems that do not have a fan, the standard reference design </w:t>
            </w:r>
            <w:r w:rsidRPr="00103A05">
              <w:rPr>
                <w:rFonts w:ascii="Times New Roman" w:hAnsi="Times New Roman" w:cs="Times New Roman"/>
                <w:sz w:val="16"/>
                <w:szCs w:val="16"/>
                <w:highlight w:val="yellow"/>
              </w:rPr>
              <w:t>thermal</w:t>
            </w:r>
            <w:r w:rsidRPr="00103A05">
              <w:rPr>
                <w:rFonts w:ascii="Times New Roman" w:hAnsi="Times New Roman" w:cs="Times New Roman"/>
                <w:sz w:val="16"/>
                <w:szCs w:val="16"/>
              </w:rPr>
              <w:t> distribution system efficiency (DSE) shall be 1. For tested duct systems, the leakage rate shall be 4 cfm (113.3 L/min) per 100 ft (9.29 m ) of conditioned floor area at a pressure of differential of 0.1inch w.g. (25 Pa).</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14:paraId="1CE97C5E" w14:textId="77777777" w:rsidR="007A2B82" w:rsidRPr="00237C28" w:rsidRDefault="007A2B82" w:rsidP="00D23D29">
            <w:pPr>
              <w:rPr>
                <w:rFonts w:ascii="Times New Roman" w:hAnsi="Times New Roman" w:cs="Times New Roman"/>
                <w:sz w:val="16"/>
                <w:szCs w:val="16"/>
              </w:rPr>
            </w:pPr>
            <w:r w:rsidRPr="00237C28">
              <w:rPr>
                <w:rFonts w:ascii="Times New Roman" w:hAnsi="Times New Roman" w:cs="Times New Roman"/>
                <w:sz w:val="16"/>
                <w:szCs w:val="16"/>
              </w:rPr>
              <w:t>Duct location: as proposed.</w:t>
            </w:r>
          </w:p>
          <w:p w14:paraId="4454D22D" w14:textId="77777777" w:rsidR="007A2B82" w:rsidRPr="00237C28" w:rsidRDefault="007A2B82" w:rsidP="00D23D29">
            <w:pPr>
              <w:rPr>
                <w:rFonts w:ascii="Times New Roman" w:hAnsi="Times New Roman" w:cs="Times New Roman"/>
                <w:sz w:val="16"/>
                <w:szCs w:val="16"/>
              </w:rPr>
            </w:pPr>
            <w:r w:rsidRPr="00237C28">
              <w:rPr>
                <w:rFonts w:ascii="Times New Roman" w:hAnsi="Times New Roman" w:cs="Times New Roman"/>
                <w:sz w:val="16"/>
                <w:szCs w:val="16"/>
              </w:rPr>
              <w:t> </w:t>
            </w:r>
          </w:p>
          <w:p w14:paraId="050FF2C0" w14:textId="77777777" w:rsidR="007A2B82" w:rsidRPr="00237C28" w:rsidRDefault="007A2B82" w:rsidP="00D23D29">
            <w:pPr>
              <w:rPr>
                <w:rFonts w:ascii="Times New Roman" w:hAnsi="Times New Roman" w:cs="Times New Roman"/>
                <w:sz w:val="16"/>
                <w:szCs w:val="16"/>
              </w:rPr>
            </w:pPr>
            <w:r w:rsidRPr="00237C28">
              <w:rPr>
                <w:rFonts w:ascii="Times New Roman" w:hAnsi="Times New Roman" w:cs="Times New Roman"/>
                <w:sz w:val="16"/>
                <w:szCs w:val="16"/>
              </w:rPr>
              <w:t>Duct insulation: as proposed.</w:t>
            </w:r>
          </w:p>
          <w:p w14:paraId="4FE06087" w14:textId="77777777" w:rsidR="007A2B82" w:rsidRPr="00237C28" w:rsidRDefault="007A2B82" w:rsidP="00D23D29">
            <w:pPr>
              <w:rPr>
                <w:rFonts w:ascii="Times New Roman" w:hAnsi="Times New Roman" w:cs="Times New Roman"/>
                <w:sz w:val="16"/>
                <w:szCs w:val="16"/>
              </w:rPr>
            </w:pPr>
            <w:r w:rsidRPr="00237C28">
              <w:rPr>
                <w:rFonts w:ascii="Times New Roman" w:hAnsi="Times New Roman" w:cs="Times New Roman"/>
                <w:sz w:val="16"/>
                <w:szCs w:val="16"/>
              </w:rPr>
              <w:t> </w:t>
            </w:r>
          </w:p>
          <w:p w14:paraId="6DE3FE65" w14:textId="77777777" w:rsidR="007A2B82" w:rsidRPr="00237C28" w:rsidRDefault="007A2B82" w:rsidP="00D23D29">
            <w:pPr>
              <w:rPr>
                <w:rFonts w:ascii="Times New Roman" w:hAnsi="Times New Roman" w:cs="Times New Roman"/>
                <w:sz w:val="16"/>
                <w:szCs w:val="16"/>
              </w:rPr>
            </w:pPr>
            <w:r w:rsidRPr="00237C28">
              <w:rPr>
                <w:rFonts w:ascii="Times New Roman" w:hAnsi="Times New Roman" w:cs="Times New Roman"/>
                <w:sz w:val="16"/>
                <w:szCs w:val="16"/>
              </w:rPr>
              <w:t>As tested or, where not tested, as</w:t>
            </w:r>
          </w:p>
          <w:p w14:paraId="5EA36359" w14:textId="77777777" w:rsidR="007A2B82" w:rsidRPr="00237C28" w:rsidRDefault="007A2B82" w:rsidP="00D23D29">
            <w:pPr>
              <w:rPr>
                <w:rFonts w:ascii="Times New Roman" w:hAnsi="Times New Roman" w:cs="Times New Roman"/>
                <w:sz w:val="16"/>
                <w:szCs w:val="16"/>
              </w:rPr>
            </w:pPr>
            <w:r w:rsidRPr="00237C28">
              <w:rPr>
                <w:rFonts w:ascii="Times New Roman" w:hAnsi="Times New Roman" w:cs="Times New Roman"/>
                <w:sz w:val="16"/>
                <w:szCs w:val="16"/>
              </w:rPr>
              <w:t>specified in Table R405.4.2(2).</w:t>
            </w:r>
          </w:p>
          <w:p w14:paraId="3D273482" w14:textId="77777777" w:rsidR="007A2B82" w:rsidRPr="00237C28" w:rsidRDefault="007A2B82" w:rsidP="00D23D29">
            <w:pPr>
              <w:rPr>
                <w:rFonts w:ascii="Times New Roman" w:hAnsi="Times New Roman" w:cs="Times New Roman"/>
                <w:sz w:val="16"/>
                <w:szCs w:val="16"/>
              </w:rPr>
            </w:pPr>
            <w:r w:rsidRPr="00237C28">
              <w:rPr>
                <w:rFonts w:ascii="Times New Roman" w:hAnsi="Times New Roman" w:cs="Times New Roman"/>
                <w:sz w:val="16"/>
                <w:szCs w:val="16"/>
              </w:rPr>
              <w:t> </w:t>
            </w:r>
          </w:p>
        </w:tc>
      </w:tr>
    </w:tbl>
    <w:p w14:paraId="04476AF6" w14:textId="7F3D1578" w:rsidR="007A2B82" w:rsidRDefault="00103A05" w:rsidP="007A2B82">
      <w:pPr>
        <w:rPr>
          <w:rFonts w:ascii="Arial" w:hAnsi="Arial" w:cs="Arial"/>
          <w:color w:val="000000"/>
          <w:sz w:val="20"/>
          <w:szCs w:val="20"/>
        </w:rPr>
      </w:pPr>
      <w:r w:rsidRPr="007A2B82">
        <w:rPr>
          <w:sz w:val="20"/>
          <w:szCs w:val="20"/>
          <w:highlight w:val="cyan"/>
        </w:rPr>
        <w:t xml:space="preserve">This </w:t>
      </w:r>
      <w:r>
        <w:rPr>
          <w:sz w:val="20"/>
          <w:szCs w:val="20"/>
          <w:highlight w:val="cyan"/>
        </w:rPr>
        <w:t>returns the wording</w:t>
      </w:r>
      <w:r w:rsidRPr="007A2B82">
        <w:rPr>
          <w:sz w:val="20"/>
          <w:szCs w:val="20"/>
          <w:highlight w:val="cyan"/>
        </w:rPr>
        <w:t xml:space="preserve"> </w:t>
      </w:r>
      <w:r>
        <w:rPr>
          <w:sz w:val="20"/>
          <w:szCs w:val="20"/>
          <w:highlight w:val="cyan"/>
        </w:rPr>
        <w:t>back to what</w:t>
      </w:r>
      <w:r w:rsidRPr="007A2B82">
        <w:rPr>
          <w:sz w:val="20"/>
          <w:szCs w:val="20"/>
          <w:highlight w:val="cyan"/>
        </w:rPr>
        <w:t xml:space="preserve"> is in the 2021 IECC</w:t>
      </w:r>
      <w:r w:rsidRPr="00103A05">
        <w:rPr>
          <w:sz w:val="20"/>
          <w:szCs w:val="20"/>
          <w:highlight w:val="cyan"/>
        </w:rPr>
        <w:t>. The wording of this table is being proposed for clarification in REPI 86.</w:t>
      </w:r>
    </w:p>
    <w:p w14:paraId="326C8AED" w14:textId="77777777" w:rsidR="008254F7" w:rsidRPr="000C58FA" w:rsidRDefault="008254F7" w:rsidP="008254F7">
      <w:pPr>
        <w:autoSpaceDE w:val="0"/>
        <w:autoSpaceDN w:val="0"/>
        <w:adjustRightInd w:val="0"/>
        <w:spacing w:after="0" w:line="240" w:lineRule="auto"/>
        <w:rPr>
          <w:rFonts w:ascii="Arial" w:hAnsi="Arial" w:cs="Arial"/>
          <w:sz w:val="20"/>
          <w:szCs w:val="20"/>
        </w:rPr>
      </w:pPr>
    </w:p>
    <w:p w14:paraId="0FAF8329" w14:textId="5047AE93" w:rsidR="00667F28" w:rsidRPr="00BA2AAB" w:rsidRDefault="008254F7" w:rsidP="00667F28">
      <w:pPr>
        <w:rPr>
          <w:rFonts w:ascii="TimesNewRoman" w:eastAsia="Times New Roman" w:hAnsi="TimesNewRoman" w:cs="Times New Roman"/>
          <w:sz w:val="20"/>
          <w:szCs w:val="20"/>
        </w:rPr>
      </w:pPr>
      <w:r w:rsidRPr="000C58FA">
        <w:rPr>
          <w:rFonts w:ascii="Arial" w:hAnsi="Arial" w:cs="Arial"/>
          <w:b/>
          <w:bCs/>
          <w:sz w:val="20"/>
          <w:szCs w:val="20"/>
          <w:highlight w:val="yellow"/>
        </w:rPr>
        <w:t>Working Group Remarks:</w:t>
      </w:r>
      <w:r w:rsidRPr="000C58FA">
        <w:rPr>
          <w:rFonts w:ascii="Arial" w:hAnsi="Arial" w:cs="Arial"/>
          <w:b/>
          <w:bCs/>
          <w:sz w:val="20"/>
          <w:szCs w:val="20"/>
        </w:rPr>
        <w:t xml:space="preserve"> </w:t>
      </w:r>
      <w:r w:rsidR="00667F28">
        <w:rPr>
          <w:rFonts w:ascii="TimesNewRoman" w:eastAsia="Times New Roman" w:hAnsi="TimesNewRoman" w:cs="Times New Roman"/>
          <w:sz w:val="20"/>
          <w:szCs w:val="20"/>
        </w:rPr>
        <w:t xml:space="preserve">The original proponents of having TDE in the IECC reached out to the WG to explain the reason why the term was added to the code. Underground ducts are tested in accordance with NSF P374. The term, </w:t>
      </w:r>
      <w:r w:rsidR="00667F28" w:rsidRPr="00EE436A">
        <w:rPr>
          <w:rFonts w:ascii="TimesNewRoman" w:eastAsia="Times New Roman" w:hAnsi="TimesNewRoman" w:cs="Times New Roman"/>
          <w:i/>
          <w:iCs/>
          <w:sz w:val="20"/>
          <w:szCs w:val="20"/>
        </w:rPr>
        <w:t>thermal distribution efficiency</w:t>
      </w:r>
      <w:r w:rsidR="00667F28">
        <w:rPr>
          <w:rFonts w:ascii="TimesNewRoman" w:eastAsia="Times New Roman" w:hAnsi="TimesNewRoman" w:cs="Times New Roman"/>
          <w:i/>
          <w:iCs/>
          <w:sz w:val="20"/>
          <w:szCs w:val="20"/>
        </w:rPr>
        <w:t xml:space="preserve"> (TDE)</w:t>
      </w:r>
      <w:r w:rsidR="00667F28">
        <w:rPr>
          <w:rFonts w:ascii="TimesNewRoman" w:eastAsia="Times New Roman" w:hAnsi="TimesNewRoman" w:cs="Times New Roman"/>
          <w:sz w:val="20"/>
          <w:szCs w:val="20"/>
        </w:rPr>
        <w:t xml:space="preserve">, comes from this testing protocol. Underground ducts are listed in accordance with ICC ES LC1014, which also refers to NSF P374. </w:t>
      </w:r>
      <w:r w:rsidR="00D77B65">
        <w:rPr>
          <w:rFonts w:ascii="TimesNewRoman" w:eastAsia="Times New Roman" w:hAnsi="TimesNewRoman" w:cs="Times New Roman"/>
          <w:sz w:val="20"/>
          <w:szCs w:val="20"/>
        </w:rPr>
        <w:t>While n</w:t>
      </w:r>
      <w:r w:rsidR="00667F28">
        <w:rPr>
          <w:rFonts w:ascii="TimesNewRoman" w:eastAsia="Times New Roman" w:hAnsi="TimesNewRoman" w:cs="Times New Roman"/>
          <w:sz w:val="20"/>
          <w:szCs w:val="20"/>
        </w:rPr>
        <w:t xml:space="preserve">either of these are ANSI standards, they </w:t>
      </w:r>
      <w:r w:rsidR="00D77B65">
        <w:rPr>
          <w:rFonts w:ascii="TimesNewRoman" w:eastAsia="Times New Roman" w:hAnsi="TimesNewRoman" w:cs="Times New Roman"/>
          <w:sz w:val="20"/>
          <w:szCs w:val="20"/>
        </w:rPr>
        <w:t xml:space="preserve">are </w:t>
      </w:r>
      <w:r w:rsidR="00667F28">
        <w:rPr>
          <w:rFonts w:ascii="TimesNewRoman" w:eastAsia="Times New Roman" w:hAnsi="TimesNewRoman" w:cs="Times New Roman"/>
          <w:sz w:val="20"/>
          <w:szCs w:val="20"/>
        </w:rPr>
        <w:t>the only methods currently available for testing</w:t>
      </w:r>
      <w:r w:rsidR="00D77B65">
        <w:rPr>
          <w:rFonts w:ascii="TimesNewRoman" w:eastAsia="Times New Roman" w:hAnsi="TimesNewRoman" w:cs="Times New Roman"/>
          <w:sz w:val="20"/>
          <w:szCs w:val="20"/>
        </w:rPr>
        <w:t xml:space="preserve">, listing and labeling </w:t>
      </w:r>
      <w:r w:rsidR="00667F28">
        <w:rPr>
          <w:rFonts w:ascii="TimesNewRoman" w:eastAsia="Times New Roman" w:hAnsi="TimesNewRoman" w:cs="Times New Roman"/>
          <w:sz w:val="20"/>
          <w:szCs w:val="20"/>
        </w:rPr>
        <w:t xml:space="preserve">underground ducts. There are several manufacturers of underground ducts that certify to these methods. To be consistent and to facilitate enforcement, </w:t>
      </w:r>
      <w:r w:rsidR="00667F28" w:rsidRPr="00EE436A">
        <w:rPr>
          <w:rFonts w:ascii="TimesNewRoman" w:eastAsia="Times New Roman" w:hAnsi="TimesNewRoman" w:cs="Times New Roman"/>
          <w:i/>
          <w:iCs/>
          <w:sz w:val="20"/>
          <w:szCs w:val="20"/>
        </w:rPr>
        <w:t>thermal distribution efficiency</w:t>
      </w:r>
      <w:r w:rsidR="00667F28">
        <w:rPr>
          <w:rFonts w:ascii="TimesNewRoman" w:eastAsia="Times New Roman" w:hAnsi="TimesNewRoman" w:cs="Times New Roman"/>
          <w:i/>
          <w:iCs/>
          <w:sz w:val="20"/>
          <w:szCs w:val="20"/>
        </w:rPr>
        <w:t xml:space="preserve"> (TDE)</w:t>
      </w:r>
      <w:r w:rsidR="00667F28">
        <w:rPr>
          <w:rFonts w:ascii="TimesNewRoman" w:eastAsia="Times New Roman" w:hAnsi="TimesNewRoman" w:cs="Times New Roman"/>
          <w:sz w:val="20"/>
          <w:szCs w:val="20"/>
        </w:rPr>
        <w:t xml:space="preserve"> needs to remain in the IECC.</w:t>
      </w:r>
    </w:p>
    <w:p w14:paraId="231CF5CF" w14:textId="2EF74787" w:rsidR="009460FF" w:rsidRPr="007401AF" w:rsidRDefault="006B088A" w:rsidP="007401AF">
      <w:pPr>
        <w:rPr>
          <w:rFonts w:ascii="TimesNewRoman" w:eastAsia="Times New Roman" w:hAnsi="TimesNewRoman" w:cs="Times New Roman"/>
          <w:sz w:val="20"/>
          <w:szCs w:val="20"/>
        </w:rPr>
      </w:pPr>
      <w:r w:rsidRPr="007401AF">
        <w:rPr>
          <w:rFonts w:ascii="TimesNewRoman" w:eastAsia="Times New Roman" w:hAnsi="TimesNewRoman" w:cs="Times New Roman"/>
          <w:sz w:val="20"/>
          <w:szCs w:val="20"/>
        </w:rPr>
        <w:t>Separately, the WG learned that ANSI/RESNET/IE</w:t>
      </w:r>
      <w:r w:rsidR="007401AF" w:rsidRPr="007401AF">
        <w:rPr>
          <w:rFonts w:ascii="TimesNewRoman" w:eastAsia="Times New Roman" w:hAnsi="TimesNewRoman" w:cs="Times New Roman"/>
          <w:sz w:val="20"/>
          <w:szCs w:val="20"/>
        </w:rPr>
        <w:t>CC</w:t>
      </w:r>
      <w:r w:rsidRPr="007401AF">
        <w:rPr>
          <w:rFonts w:ascii="TimesNewRoman" w:eastAsia="Times New Roman" w:hAnsi="TimesNewRoman" w:cs="Times New Roman"/>
          <w:sz w:val="20"/>
          <w:szCs w:val="20"/>
        </w:rPr>
        <w:t xml:space="preserve"> Standard 301 has a different, but similar definition for DSE.</w:t>
      </w:r>
      <w:r w:rsidR="007401AF" w:rsidRPr="007401AF">
        <w:rPr>
          <w:rFonts w:ascii="TimesNewRoman" w:eastAsia="Times New Roman" w:hAnsi="TimesNewRoman" w:cs="Times New Roman"/>
          <w:sz w:val="20"/>
          <w:szCs w:val="20"/>
        </w:rPr>
        <w:t xml:space="preserve"> Since Standard 301 is already referenced in the IECC, it makes sense to use this definition. DSE is used in Table R405.4.2(1).</w:t>
      </w:r>
    </w:p>
    <w:sectPr w:rsidR="009460FF" w:rsidRPr="007401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14BA" w14:textId="77777777" w:rsidR="00E555AA" w:rsidRDefault="00E555AA" w:rsidP="007A2B82">
      <w:pPr>
        <w:spacing w:after="0" w:line="240" w:lineRule="auto"/>
      </w:pPr>
      <w:r>
        <w:separator/>
      </w:r>
    </w:p>
  </w:endnote>
  <w:endnote w:type="continuationSeparator" w:id="0">
    <w:p w14:paraId="03E4BB29" w14:textId="77777777" w:rsidR="00E555AA" w:rsidRDefault="00E555AA" w:rsidP="007A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434F" w14:textId="77777777" w:rsidR="00E555AA" w:rsidRDefault="00E555AA" w:rsidP="007A2B82">
      <w:pPr>
        <w:spacing w:after="0" w:line="240" w:lineRule="auto"/>
      </w:pPr>
      <w:r>
        <w:separator/>
      </w:r>
    </w:p>
  </w:footnote>
  <w:footnote w:type="continuationSeparator" w:id="0">
    <w:p w14:paraId="79B59CE8" w14:textId="77777777" w:rsidR="00E555AA" w:rsidRDefault="00E555AA" w:rsidP="007A2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BD"/>
    <w:rsid w:val="00016EB2"/>
    <w:rsid w:val="0007002E"/>
    <w:rsid w:val="000944A8"/>
    <w:rsid w:val="000C58FA"/>
    <w:rsid w:val="000F58BD"/>
    <w:rsid w:val="00100DD4"/>
    <w:rsid w:val="00103A05"/>
    <w:rsid w:val="00166CB7"/>
    <w:rsid w:val="002A2DFF"/>
    <w:rsid w:val="003C5CF1"/>
    <w:rsid w:val="00667F28"/>
    <w:rsid w:val="006B088A"/>
    <w:rsid w:val="006D3A26"/>
    <w:rsid w:val="007401AF"/>
    <w:rsid w:val="007A2B82"/>
    <w:rsid w:val="008254F7"/>
    <w:rsid w:val="009460FF"/>
    <w:rsid w:val="00D21227"/>
    <w:rsid w:val="00D77B65"/>
    <w:rsid w:val="00DA401B"/>
    <w:rsid w:val="00DC7923"/>
    <w:rsid w:val="00E5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C596"/>
  <w15:chartTrackingRefBased/>
  <w15:docId w15:val="{115FB650-9B1E-458F-950D-E4BC251A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F1"/>
    <w:rPr>
      <w:color w:val="0563C1" w:themeColor="hyperlink"/>
      <w:u w:val="single"/>
    </w:rPr>
  </w:style>
  <w:style w:type="character" w:styleId="UnresolvedMention">
    <w:name w:val="Unresolved Mention"/>
    <w:basedOn w:val="DefaultParagraphFont"/>
    <w:uiPriority w:val="99"/>
    <w:semiHidden/>
    <w:unhideWhenUsed/>
    <w:rsid w:val="003C5CF1"/>
    <w:rPr>
      <w:color w:val="605E5C"/>
      <w:shd w:val="clear" w:color="auto" w:fill="E1DFDD"/>
    </w:rPr>
  </w:style>
  <w:style w:type="paragraph" w:styleId="NormalWeb">
    <w:name w:val="Normal (Web)"/>
    <w:basedOn w:val="Normal"/>
    <w:uiPriority w:val="99"/>
    <w:unhideWhenUsed/>
    <w:rsid w:val="007A2B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2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B82"/>
  </w:style>
  <w:style w:type="paragraph" w:styleId="Footer">
    <w:name w:val="footer"/>
    <w:basedOn w:val="Normal"/>
    <w:link w:val="FooterChar"/>
    <w:uiPriority w:val="99"/>
    <w:unhideWhenUsed/>
    <w:rsid w:val="007A2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bixster62@yahoo.com</dc:creator>
  <cp:keywords/>
  <dc:description/>
  <cp:lastModifiedBy>bixster62@yahoo.com</cp:lastModifiedBy>
  <cp:revision>2</cp:revision>
  <dcterms:created xsi:type="dcterms:W3CDTF">2022-04-16T20:59:00Z</dcterms:created>
  <dcterms:modified xsi:type="dcterms:W3CDTF">2022-04-16T20:59:00Z</dcterms:modified>
</cp:coreProperties>
</file>